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南京市玄武区公益创投项目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6"/>
          <w:szCs w:val="36"/>
          <w:lang w:val="zh-CN"/>
        </w:rPr>
      </w:pP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项目编号：</w:t>
      </w:r>
      <w:r>
        <w:rPr>
          <w:rFonts w:hint="eastAsia" w:ascii="仿宋_GB2312" w:hAnsi="宋体" w:eastAsia="仿宋_GB2312"/>
          <w:sz w:val="36"/>
          <w:szCs w:val="36"/>
          <w:u w:val="single"/>
          <w:lang w:val="zh-CN"/>
        </w:rPr>
        <w:t>XWMZ-201808</w:t>
      </w:r>
      <w:r>
        <w:rPr>
          <w:rFonts w:hint="eastAsia" w:ascii="仿宋_GB2312" w:hAnsi="宋体" w:eastAsia="仿宋_GB2312"/>
          <w:sz w:val="36"/>
          <w:szCs w:val="36"/>
          <w:u w:val="single"/>
        </w:rPr>
        <w:t>2702</w:t>
      </w:r>
      <w:r>
        <w:rPr>
          <w:rFonts w:hint="eastAsia" w:ascii="仿宋_GB2312" w:hAnsi="宋体" w:eastAsia="仿宋_GB2312"/>
          <w:b/>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项目名称：</w:t>
      </w:r>
      <w:r>
        <w:rPr>
          <w:rFonts w:hint="eastAsia" w:ascii="仿宋_GB2312" w:eastAsia="仿宋_GB2312"/>
          <w:sz w:val="36"/>
          <w:szCs w:val="36"/>
          <w:u w:val="single"/>
          <w:lang w:val="zh-CN"/>
        </w:rPr>
        <w:t xml:space="preserve">2018年度南京市玄武区公益创投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lang w:val="zh-CN"/>
        </w:rPr>
        <w:t>养老服务项目第</w:t>
      </w:r>
      <w:r>
        <w:rPr>
          <w:rFonts w:hint="eastAsia" w:ascii="仿宋_GB2312" w:eastAsia="仿宋_GB2312"/>
          <w:sz w:val="36"/>
          <w:szCs w:val="36"/>
          <w:u w:val="single"/>
        </w:rPr>
        <w:t>二</w:t>
      </w:r>
      <w:r>
        <w:rPr>
          <w:rFonts w:hint="eastAsia" w:ascii="仿宋_GB2312" w:eastAsia="仿宋_GB2312"/>
          <w:sz w:val="36"/>
          <w:szCs w:val="36"/>
          <w:u w:val="single"/>
          <w:lang w:val="zh-CN"/>
        </w:rPr>
        <w:t xml:space="preserve">批  </w:t>
      </w:r>
    </w:p>
    <w:p>
      <w:pPr>
        <w:autoSpaceDE w:val="0"/>
        <w:autoSpaceDN w:val="0"/>
        <w:adjustRightInd w:val="0"/>
        <w:jc w:val="left"/>
        <w:rPr>
          <w:rFonts w:ascii="仿宋_GB2312" w:eastAsia="仿宋_GB2312"/>
          <w:color w:val="FF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二〇一八年八月</w:t>
      </w: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color w:val="auto"/>
          <w:kern w:val="0"/>
          <w:sz w:val="28"/>
          <w:szCs w:val="28"/>
          <w:highlight w:val="none"/>
          <w:shd w:val="clear" w:color="auto" w:fill="FFFFFF"/>
        </w:rPr>
      </w:pPr>
      <w:bookmarkStart w:id="24" w:name="_GoBack"/>
      <w:r>
        <w:rPr>
          <w:rFonts w:hint="eastAsia" w:ascii="仿宋_GB2312" w:eastAsia="仿宋_GB2312"/>
          <w:color w:val="auto"/>
          <w:kern w:val="0"/>
          <w:sz w:val="28"/>
          <w:szCs w:val="28"/>
          <w:highlight w:val="none"/>
          <w:u w:val="single"/>
          <w:shd w:val="clear" w:color="auto" w:fill="FFFFFF"/>
        </w:rPr>
        <w:t>江苏大友招标代理咨询有限公司</w:t>
      </w:r>
      <w:r>
        <w:rPr>
          <w:rFonts w:hint="eastAsia" w:ascii="仿宋_GB2312" w:eastAsia="仿宋_GB2312"/>
          <w:color w:val="auto"/>
          <w:kern w:val="0"/>
          <w:sz w:val="28"/>
          <w:szCs w:val="28"/>
          <w:highlight w:val="none"/>
          <w:shd w:val="clear" w:color="auto" w:fill="FFFFFF"/>
        </w:rPr>
        <w:t>（以下简称“代理机构”）受</w:t>
      </w:r>
      <w:r>
        <w:rPr>
          <w:rFonts w:hint="eastAsia" w:ascii="仿宋_GB2312" w:eastAsia="仿宋_GB2312" w:cs="宋体"/>
          <w:color w:val="auto"/>
          <w:kern w:val="0"/>
          <w:sz w:val="28"/>
          <w:szCs w:val="28"/>
          <w:highlight w:val="none"/>
          <w:shd w:val="clear" w:color="auto" w:fill="FFFFFF"/>
        </w:rPr>
        <w:t>南京市玄武区民政局</w:t>
      </w:r>
      <w:r>
        <w:rPr>
          <w:rFonts w:hint="eastAsia" w:ascii="仿宋_GB2312" w:eastAsia="仿宋_GB2312"/>
          <w:color w:val="auto"/>
          <w:kern w:val="0"/>
          <w:sz w:val="28"/>
          <w:szCs w:val="28"/>
          <w:highlight w:val="none"/>
          <w:shd w:val="clear" w:color="auto" w:fill="FFFFFF"/>
        </w:rPr>
        <w:t>（采购单位名称，以下简称“采购人”）委托，就</w:t>
      </w:r>
      <w:r>
        <w:rPr>
          <w:rFonts w:hint="eastAsia" w:ascii="仿宋_GB2312" w:eastAsia="仿宋_GB2312"/>
          <w:color w:val="auto"/>
          <w:sz w:val="28"/>
          <w:szCs w:val="28"/>
          <w:highlight w:val="none"/>
          <w:lang w:val="zh-CN"/>
        </w:rPr>
        <w:t xml:space="preserve"> </w:t>
      </w:r>
      <w:r>
        <w:rPr>
          <w:rFonts w:hint="eastAsia" w:ascii="仿宋_GB2312" w:eastAsia="仿宋_GB2312"/>
          <w:color w:val="auto"/>
          <w:kern w:val="0"/>
          <w:sz w:val="28"/>
          <w:szCs w:val="28"/>
          <w:highlight w:val="none"/>
          <w:u w:val="single"/>
          <w:shd w:val="clear" w:color="auto" w:fill="FFFFFF"/>
        </w:rPr>
        <w:t>2018年度南京市区级公益创投养老服务项目（第二批）</w:t>
      </w:r>
      <w:r>
        <w:rPr>
          <w:rFonts w:hint="eastAsia" w:ascii="仿宋_GB2312" w:eastAsia="仿宋_GB2312"/>
          <w:color w:val="auto"/>
          <w:kern w:val="0"/>
          <w:sz w:val="28"/>
          <w:szCs w:val="28"/>
          <w:highlight w:val="none"/>
          <w:shd w:val="clear" w:color="auto" w:fill="FFFFFF"/>
        </w:rPr>
        <w:t>（项目名称）进行</w:t>
      </w:r>
      <w:r>
        <w:rPr>
          <w:rFonts w:hint="eastAsia" w:ascii="仿宋_GB2312" w:eastAsia="仿宋_GB2312"/>
          <w:color w:val="auto"/>
          <w:sz w:val="28"/>
          <w:szCs w:val="28"/>
          <w:highlight w:val="none"/>
          <w:lang w:val="zh-CN"/>
        </w:rPr>
        <w:t>采购</w:t>
      </w:r>
      <w:r>
        <w:rPr>
          <w:rFonts w:hint="eastAsia" w:ascii="仿宋_GB2312" w:eastAsia="仿宋_GB2312"/>
          <w:color w:val="auto"/>
          <w:kern w:val="0"/>
          <w:sz w:val="28"/>
          <w:szCs w:val="28"/>
          <w:highlight w:val="none"/>
          <w:shd w:val="clear" w:color="auto" w:fill="FFFFFF"/>
        </w:rPr>
        <w:t>，兹邀请符合资格条件的应标人竞标。</w:t>
      </w:r>
    </w:p>
    <w:p>
      <w:pPr>
        <w:spacing w:line="560" w:lineRule="exact"/>
        <w:ind w:firstLine="562" w:firstLineChars="200"/>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1、项目编号：XWMZ-2018082702</w:t>
      </w:r>
    </w:p>
    <w:p>
      <w:pPr>
        <w:spacing w:line="560" w:lineRule="exact"/>
        <w:rPr>
          <w:rFonts w:ascii="仿宋_GB2312" w:hAnsi="黑体" w:eastAsia="仿宋_GB2312" w:cs="宋体"/>
          <w:b/>
          <w:color w:val="auto"/>
          <w:kern w:val="0"/>
          <w:sz w:val="28"/>
          <w:szCs w:val="28"/>
          <w:highlight w:val="none"/>
        </w:rPr>
      </w:pPr>
      <w:r>
        <w:rPr>
          <w:rFonts w:hint="eastAsia" w:ascii="仿宋_GB2312" w:hAnsi="宋体" w:eastAsia="仿宋_GB2312" w:cs="宋体"/>
          <w:b/>
          <w:color w:val="auto"/>
          <w:kern w:val="0"/>
          <w:sz w:val="28"/>
          <w:szCs w:val="28"/>
          <w:highlight w:val="none"/>
        </w:rPr>
        <w:t xml:space="preserve">       </w:t>
      </w:r>
      <w:r>
        <w:rPr>
          <w:rFonts w:hint="eastAsia" w:ascii="仿宋_GB2312" w:hAnsi="黑体" w:eastAsia="仿宋_GB2312" w:cs="宋体"/>
          <w:b/>
          <w:color w:val="auto"/>
          <w:kern w:val="0"/>
          <w:sz w:val="28"/>
          <w:szCs w:val="28"/>
          <w:highlight w:val="none"/>
        </w:rPr>
        <w:t>项目名称：2018年度南京市玄武区公益创投养老服务项目第二批</w:t>
      </w:r>
    </w:p>
    <w:p>
      <w:pPr>
        <w:spacing w:line="560" w:lineRule="exact"/>
        <w:ind w:firstLine="992" w:firstLineChars="353"/>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项目预算：46万元</w:t>
      </w:r>
    </w:p>
    <w:p>
      <w:pPr>
        <w:spacing w:line="560" w:lineRule="exact"/>
        <w:ind w:left="567"/>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 xml:space="preserve">2、项目分类：养老服务类（第二批） </w:t>
      </w:r>
    </w:p>
    <w:p>
      <w:pPr>
        <w:autoSpaceDE w:val="0"/>
        <w:autoSpaceDN w:val="0"/>
        <w:adjustRightInd w:val="0"/>
        <w:spacing w:line="560" w:lineRule="exact"/>
        <w:ind w:firstLine="562" w:firstLineChars="200"/>
        <w:jc w:val="left"/>
        <w:rPr>
          <w:rFonts w:ascii="仿宋_GB2312" w:hAnsi="黑体" w:eastAsia="仿宋_GB2312"/>
          <w:b/>
          <w:color w:val="auto"/>
          <w:sz w:val="28"/>
          <w:szCs w:val="28"/>
          <w:highlight w:val="none"/>
          <w:lang w:val="zh-CN"/>
        </w:rPr>
      </w:pPr>
      <w:r>
        <w:rPr>
          <w:rFonts w:hint="eastAsia" w:ascii="仿宋_GB2312" w:hAnsi="黑体" w:eastAsia="仿宋_GB2312"/>
          <w:b/>
          <w:color w:val="auto"/>
          <w:sz w:val="28"/>
          <w:szCs w:val="28"/>
          <w:highlight w:val="none"/>
          <w:lang w:val="zh-CN"/>
        </w:rPr>
        <w:t>3、应标单位应具备下列资格条件：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（1）依法登记具有独立法人资格、成立时间1年以上且上年度年检合格的社会组织，其中承接10万元以上项目的社会组织成立时间须在2年以上；</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（2）具有健全的法人治理结构，完善的内部管理制度和民主监督制度；</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（3）具备提供服务所必需的场所、设备和专业执行团队（提供相应证明材料）；</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（4）有独立的银行账户（提供银行开户许可证复印件）；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（5）具备采购单位提出的其他专业方面资质要求（见项目要求说明）；</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 在参加竞争前三年内没有重大违法记录，社会信誉及运作状况良好；</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（7）社会组织评估三A级以上以及有专职的社工同等条件下优先（以签订劳动合同为准）；</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（8）法律、法规和规范性文件规定的其他条件；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（9）本次公益创投项目不接受联合体应标。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w:t>
      </w:r>
      <w:r>
        <w:rPr>
          <w:rFonts w:hint="eastAsia" w:ascii="仿宋_GB2312" w:hAnsi="黑体" w:eastAsia="仿宋_GB2312" w:cs="Times New Roman"/>
          <w:color w:val="auto"/>
          <w:sz w:val="28"/>
          <w:szCs w:val="28"/>
          <w:highlight w:val="none"/>
        </w:rPr>
        <w:t>应标人投标项目分包数不超过1个（特殊情况除外），这里所称的项目分包是指本年度玄武区公益创投各类各批项目所包含的共计30个分包。</w:t>
      </w:r>
    </w:p>
    <w:p>
      <w:pPr>
        <w:widowControl/>
        <w:shd w:val="clear" w:color="auto" w:fill="FFFFFF"/>
        <w:spacing w:before="54" w:after="54" w:line="560" w:lineRule="exact"/>
        <w:ind w:firstLine="562" w:firstLineChars="200"/>
        <w:jc w:val="left"/>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5、竞标项目简要说明：</w:t>
      </w:r>
    </w:p>
    <w:p>
      <w:pPr>
        <w:widowControl/>
        <w:shd w:val="clear" w:color="auto" w:fill="FFFFFF"/>
        <w:spacing w:before="54" w:after="54" w:line="560" w:lineRule="exact"/>
        <w:ind w:firstLine="386" w:firstLineChars="184"/>
        <w:jc w:val="left"/>
        <w:rPr>
          <w:rFonts w:ascii="仿宋_GB2312" w:eastAsia="仿宋_GB2312"/>
          <w:color w:val="auto"/>
          <w:sz w:val="28"/>
          <w:szCs w:val="28"/>
          <w:highlight w:val="none"/>
        </w:rPr>
      </w:pPr>
      <w:r>
        <w:rPr>
          <w:rStyle w:val="246"/>
          <w:rFonts w:hint="eastAsia" w:ascii="宋体" w:hAnsi="宋体" w:eastAsia="仿宋_GB2312"/>
          <w:color w:val="auto"/>
          <w:szCs w:val="21"/>
          <w:highlight w:val="none"/>
        </w:rPr>
        <w:t> </w:t>
      </w:r>
      <w:r>
        <w:rPr>
          <w:rFonts w:hint="eastAsia" w:ascii="仿宋_GB2312" w:eastAsia="仿宋_GB2312"/>
          <w:color w:val="auto"/>
          <w:sz w:val="28"/>
          <w:szCs w:val="28"/>
          <w:highlight w:val="none"/>
        </w:rPr>
        <w:t>（1）本批次项目主要针对2018年南京市玄武区公益创投养老服务项目第二批进行竞标。标的物为养老服务6个分包。应标人需按照项目需求和预期目标完成项目的方案设计、组织实施、接受评估等相关的服务承诺；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（2）项目分包及资助金额见下表（具体内容见应标文件第三章项目需求）</w:t>
      </w:r>
    </w:p>
    <w:tbl>
      <w:tblPr>
        <w:tblStyle w:val="50"/>
        <w:tblW w:w="8112"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2"/>
        <w:gridCol w:w="1665"/>
        <w:gridCol w:w="3600"/>
        <w:gridCol w:w="1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0" w:hRule="atLeast"/>
        </w:trPr>
        <w:tc>
          <w:tcPr>
            <w:tcW w:w="1092"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区划</w:t>
            </w: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分包号</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实施区域范围</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资助金额</w:t>
            </w:r>
          </w:p>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restart"/>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玄武区</w:t>
            </w: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分包1</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玄武区内（不限定区域）</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分包2</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玄武区内（不限定区域）</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分包3</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玄武区内（不限定区域）</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1"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分包4</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玄武区内（不限定区域）</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分包5</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玄武区内（不限定区域）</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分包6</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红山全街道</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8</w:t>
            </w:r>
          </w:p>
        </w:tc>
      </w:tr>
    </w:tbl>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（3）项目设计须以个案服务为主，实施过程中不得有商业营销行为；</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（4）应标项目服务内容必须明确在本社会组织注册登记的业务范围内，杜绝超范围经营服务现象。如有特殊情况，需经业务指导部门书面同意。（提供业务范围或业务指导部门的书面同意证明）；</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（5）原则上当年度参加省、市公益创投等政府购买服务项目并中标的社会组织，不得在同一地域，针对同一类人群，以相同类别的项目参加此次竞标。</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（7）项目服务满意率在85%以上，满意率测评由成交方自行组织并存档，采购方或采购方委托的第三方机构将进行抽查；</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（8）不得以相同项目重复套取财政性资金。</w:t>
      </w:r>
    </w:p>
    <w:p>
      <w:pPr>
        <w:autoSpaceDE w:val="0"/>
        <w:autoSpaceDN w:val="0"/>
        <w:adjustRightIn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lang w:val="zh-CN"/>
        </w:rPr>
        <w:t>6、</w:t>
      </w:r>
      <w:r>
        <w:rPr>
          <w:rFonts w:hint="eastAsia" w:ascii="仿宋_GB2312" w:hAnsi="宋体" w:eastAsia="仿宋_GB2312"/>
          <w:b/>
          <w:color w:val="auto"/>
          <w:sz w:val="28"/>
          <w:szCs w:val="28"/>
          <w:highlight w:val="none"/>
        </w:rPr>
        <w:t>本次应标免交保证金。采购文件可在江苏大友招标代理咨询有限公司（www.jsdayou.cn）网站自行下载。</w:t>
      </w:r>
    </w:p>
    <w:p>
      <w:pPr>
        <w:spacing w:line="560" w:lineRule="exact"/>
        <w:ind w:firstLine="562" w:firstLineChars="200"/>
        <w:rPr>
          <w:rFonts w:ascii="仿宋_GB2312" w:hAnsi="仿宋" w:eastAsia="仿宋_GB2312"/>
          <w:b/>
          <w:color w:val="auto"/>
          <w:sz w:val="28"/>
          <w:szCs w:val="28"/>
          <w:highlight w:val="none"/>
        </w:rPr>
      </w:pPr>
      <w:r>
        <w:rPr>
          <w:rFonts w:hint="eastAsia" w:ascii="仿宋_GB2312" w:hAnsi="仿宋" w:eastAsia="仿宋_GB2312" w:cs="宋体"/>
          <w:b/>
          <w:color w:val="auto"/>
          <w:kern w:val="0"/>
          <w:sz w:val="28"/>
          <w:szCs w:val="28"/>
          <w:highlight w:val="none"/>
        </w:rPr>
        <w:t>7、实施周期：1年</w:t>
      </w:r>
      <w:r>
        <w:rPr>
          <w:rFonts w:hint="eastAsia" w:ascii="仿宋_GB2312" w:hAnsi="仿宋" w:eastAsia="仿宋_GB2312"/>
          <w:b/>
          <w:color w:val="auto"/>
          <w:sz w:val="28"/>
          <w:szCs w:val="28"/>
          <w:highlight w:val="none"/>
        </w:rPr>
        <w:t xml:space="preserve"> </w:t>
      </w:r>
    </w:p>
    <w:p>
      <w:pPr>
        <w:pStyle w:val="39"/>
        <w:spacing w:before="0" w:beforeAutospacing="0" w:after="0" w:afterAutospacing="0" w:line="560" w:lineRule="exact"/>
        <w:ind w:firstLine="562" w:firstLineChars="200"/>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rPr>
        <w:t>8、应标文件份数</w:t>
      </w:r>
      <w:r>
        <w:rPr>
          <w:rFonts w:hint="eastAsia" w:ascii="仿宋_GB2312" w:hAnsi="仿宋" w:eastAsia="仿宋_GB2312"/>
          <w:color w:val="auto"/>
          <w:sz w:val="28"/>
          <w:szCs w:val="28"/>
          <w:highlight w:val="none"/>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color w:val="auto"/>
          <w:kern w:val="0"/>
          <w:sz w:val="28"/>
          <w:szCs w:val="28"/>
          <w:highlight w:val="none"/>
        </w:rPr>
      </w:pPr>
      <w:r>
        <w:rPr>
          <w:rFonts w:hint="eastAsia" w:ascii="仿宋_GB2312" w:hAnsi="仿宋" w:eastAsia="仿宋_GB2312"/>
          <w:b/>
          <w:color w:val="auto"/>
          <w:kern w:val="0"/>
          <w:sz w:val="28"/>
          <w:szCs w:val="28"/>
          <w:highlight w:val="none"/>
        </w:rPr>
        <w:t>9</w:t>
      </w:r>
      <w:r>
        <w:rPr>
          <w:rFonts w:hint="eastAsia" w:ascii="仿宋_GB2312" w:hAnsi="仿宋" w:eastAsia="仿宋_GB2312" w:cs="宋体"/>
          <w:b/>
          <w:color w:val="auto"/>
          <w:kern w:val="0"/>
          <w:sz w:val="28"/>
          <w:szCs w:val="28"/>
          <w:highlight w:val="none"/>
        </w:rPr>
        <w:t xml:space="preserve">、本批次项目6个分包的应标文件接收时间、地点及评审时间、地点 </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应标文件接收时间：2018年9月19日上午9：00</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应标文件接收截止时间：2018年 9月19日上午9：30</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应标文件接收地点：</w:t>
      </w:r>
      <w:r>
        <w:rPr>
          <w:rFonts w:hint="eastAsia" w:ascii="仿宋_GB2312" w:hAnsi="仿宋" w:eastAsia="仿宋_GB2312"/>
          <w:color w:val="auto"/>
          <w:kern w:val="0"/>
          <w:sz w:val="28"/>
          <w:szCs w:val="28"/>
          <w:highlight w:val="none"/>
        </w:rPr>
        <w:t>南京市鼓楼区江东北路95号3楼会议室一</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评审时间：2018年9月19日上午9：30</w:t>
      </w:r>
    </w:p>
    <w:p>
      <w:pPr>
        <w:widowControl/>
        <w:shd w:val="clear" w:color="auto" w:fill="FFFFFF"/>
        <w:spacing w:before="54" w:after="54" w:line="560" w:lineRule="exact"/>
        <w:ind w:firstLine="562" w:firstLineChars="200"/>
        <w:jc w:val="left"/>
        <w:rPr>
          <w:rFonts w:ascii="仿宋_GB2312" w:hAnsi="仿宋" w:eastAsia="仿宋_GB2312"/>
          <w:color w:val="auto"/>
          <w:kern w:val="0"/>
          <w:sz w:val="28"/>
          <w:szCs w:val="28"/>
          <w:highlight w:val="none"/>
        </w:rPr>
      </w:pPr>
      <w:r>
        <w:rPr>
          <w:rFonts w:hint="eastAsia" w:ascii="仿宋_GB2312" w:hAnsi="仿宋" w:eastAsia="仿宋_GB2312"/>
          <w:b/>
          <w:color w:val="auto"/>
          <w:kern w:val="0"/>
          <w:sz w:val="28"/>
          <w:szCs w:val="28"/>
          <w:highlight w:val="none"/>
        </w:rPr>
        <w:t>10、资格预审：</w:t>
      </w:r>
      <w:r>
        <w:rPr>
          <w:rFonts w:hint="eastAsia" w:ascii="仿宋_GB2312" w:hAnsi="仿宋" w:eastAsia="仿宋_GB2312"/>
          <w:color w:val="auto"/>
          <w:kern w:val="0"/>
          <w:sz w:val="28"/>
          <w:szCs w:val="28"/>
          <w:highlight w:val="none"/>
        </w:rPr>
        <w:t>请有意向应标人携带相关资质证明文件复印件（社会组织登记证书、组织机构代码证复印件、银行开户许可证复印件）在9月13日前到</w:t>
      </w:r>
      <w:r>
        <w:rPr>
          <w:rFonts w:hint="eastAsia" w:ascii="仿宋_GB2312" w:hAnsi="仿宋" w:eastAsia="仿宋_GB2312"/>
          <w:color w:val="auto"/>
          <w:kern w:val="0"/>
          <w:sz w:val="28"/>
          <w:szCs w:val="28"/>
          <w:highlight w:val="none"/>
          <w:u w:val="single"/>
        </w:rPr>
        <w:t>南京市鼓楼区江东北路95号3楼（代理机构处）</w:t>
      </w:r>
      <w:r>
        <w:rPr>
          <w:rFonts w:hint="eastAsia" w:ascii="仿宋_GB2312" w:hAnsi="仿宋" w:eastAsia="仿宋_GB2312"/>
          <w:color w:val="auto"/>
          <w:kern w:val="0"/>
          <w:sz w:val="28"/>
          <w:szCs w:val="28"/>
          <w:highlight w:val="none"/>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auto"/>
          <w:kern w:val="0"/>
          <w:sz w:val="28"/>
          <w:szCs w:val="28"/>
          <w:highlight w:val="none"/>
        </w:rPr>
      </w:pPr>
      <w:r>
        <w:rPr>
          <w:rFonts w:hint="eastAsia" w:ascii="仿宋_GB2312" w:hAnsi="仿宋" w:eastAsia="仿宋_GB2312"/>
          <w:b/>
          <w:color w:val="auto"/>
          <w:kern w:val="0"/>
          <w:sz w:val="28"/>
          <w:szCs w:val="28"/>
          <w:highlight w:val="none"/>
        </w:rPr>
        <w:t>11</w:t>
      </w:r>
      <w:r>
        <w:rPr>
          <w:rFonts w:hint="eastAsia" w:ascii="仿宋_GB2312" w:hAnsi="仿宋" w:eastAsia="仿宋_GB2312" w:cs="宋体"/>
          <w:b/>
          <w:color w:val="auto"/>
          <w:kern w:val="0"/>
          <w:sz w:val="28"/>
          <w:szCs w:val="28"/>
          <w:highlight w:val="none"/>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联系人：宋兰云</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联系电话：025-</w:t>
      </w:r>
      <w:r>
        <w:rPr>
          <w:rFonts w:hint="eastAsia" w:ascii="仿宋_GB2312" w:eastAsia="仿宋_GB2312"/>
          <w:color w:val="auto"/>
          <w:kern w:val="0"/>
          <w:sz w:val="28"/>
          <w:szCs w:val="28"/>
          <w:highlight w:val="none"/>
          <w:lang w:val="zh-CN"/>
        </w:rPr>
        <w:t>83682338</w:t>
      </w:r>
    </w:p>
    <w:p>
      <w:pPr>
        <w:widowControl/>
        <w:shd w:val="clear" w:color="auto" w:fill="FFFFFF"/>
        <w:spacing w:before="54" w:after="54" w:line="560" w:lineRule="exact"/>
        <w:ind w:firstLine="560" w:firstLineChars="200"/>
        <w:jc w:val="left"/>
        <w:rPr>
          <w:rFonts w:ascii="仿宋_GB2312" w:hAnsi="仿宋" w:eastAsia="仿宋_GB2312"/>
          <w:color w:val="auto"/>
          <w:sz w:val="28"/>
          <w:szCs w:val="28"/>
          <w:highlight w:val="none"/>
          <w:shd w:val="pct10" w:color="auto" w:fill="FFFFFF"/>
          <w:lang w:val="zh-CN"/>
        </w:rPr>
      </w:pPr>
      <w:r>
        <w:rPr>
          <w:rFonts w:hint="eastAsia" w:ascii="仿宋_GB2312" w:hAnsi="仿宋" w:eastAsia="仿宋_GB2312"/>
          <w:color w:val="auto"/>
          <w:kern w:val="0"/>
          <w:sz w:val="28"/>
          <w:szCs w:val="28"/>
          <w:highlight w:val="none"/>
        </w:rPr>
        <w:t>地址：南京市玄武区珠江路687号</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olor w:val="auto"/>
          <w:kern w:val="0"/>
          <w:sz w:val="28"/>
          <w:szCs w:val="28"/>
          <w:highlight w:val="none"/>
        </w:rPr>
        <w:t>电子邮箱：393646513@QQ.com</w:t>
      </w:r>
    </w:p>
    <w:p>
      <w:pPr>
        <w:widowControl/>
        <w:shd w:val="clear" w:color="auto" w:fill="FFFFFF"/>
        <w:spacing w:before="54" w:after="54" w:line="560" w:lineRule="exact"/>
        <w:ind w:firstLine="551" w:firstLineChars="196"/>
        <w:jc w:val="left"/>
        <w:rPr>
          <w:rFonts w:ascii="仿宋_GB2312" w:hAnsi="仿宋" w:eastAsia="仿宋_GB2312"/>
          <w:b/>
          <w:color w:val="auto"/>
          <w:kern w:val="0"/>
          <w:sz w:val="28"/>
          <w:szCs w:val="28"/>
          <w:highlight w:val="none"/>
        </w:rPr>
      </w:pPr>
      <w:r>
        <w:rPr>
          <w:rFonts w:hint="eastAsia" w:ascii="仿宋_GB2312" w:hAnsi="仿宋" w:eastAsia="仿宋_GB2312"/>
          <w:b/>
          <w:color w:val="auto"/>
          <w:kern w:val="0"/>
          <w:sz w:val="28"/>
          <w:szCs w:val="28"/>
          <w:highlight w:val="none"/>
        </w:rPr>
        <w:t>12</w:t>
      </w:r>
      <w:r>
        <w:rPr>
          <w:rFonts w:hint="eastAsia" w:ascii="仿宋_GB2312" w:hAnsi="仿宋" w:eastAsia="仿宋_GB2312" w:cs="宋体"/>
          <w:b/>
          <w:color w:val="auto"/>
          <w:kern w:val="0"/>
          <w:sz w:val="28"/>
          <w:szCs w:val="28"/>
          <w:highlight w:val="none"/>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联系人：杨悦、聂倩</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s="宋体"/>
          <w:color w:val="auto"/>
          <w:kern w:val="0"/>
          <w:sz w:val="28"/>
          <w:szCs w:val="28"/>
          <w:highlight w:val="none"/>
        </w:rPr>
        <w:t>联系电话：025-69576326、69576329</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olor w:val="auto"/>
          <w:kern w:val="0"/>
          <w:sz w:val="28"/>
          <w:szCs w:val="28"/>
          <w:highlight w:val="none"/>
        </w:rPr>
        <w:t xml:space="preserve">传    </w:t>
      </w:r>
      <w:r>
        <w:rPr>
          <w:rFonts w:hint="eastAsia" w:ascii="仿宋_GB2312" w:hAnsi="仿宋" w:eastAsia="仿宋_GB2312" w:cs="宋体"/>
          <w:color w:val="auto"/>
          <w:kern w:val="0"/>
          <w:sz w:val="28"/>
          <w:szCs w:val="28"/>
          <w:highlight w:val="none"/>
        </w:rPr>
        <w:t>真：025-69576334</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地址：南京市鼓楼区江东北路95号3楼</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s="宋体"/>
          <w:color w:val="auto"/>
          <w:kern w:val="0"/>
          <w:sz w:val="28"/>
          <w:szCs w:val="28"/>
          <w:highlight w:val="none"/>
        </w:rPr>
        <w:t>邮编：210008</w:t>
      </w:r>
    </w:p>
    <w:bookmarkEnd w:id="24"/>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根据南京市玄武区民政局有关规定办法，遵循公平、公正、公开原则。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w:t>
      </w:r>
      <w:r>
        <w:rPr>
          <w:rFonts w:hint="eastAsia" w:ascii="仿宋_GB2312" w:hAnsi="仿宋" w:eastAsia="仿宋_GB2312" w:cs="宋体"/>
          <w:color w:val="FF0000"/>
          <w:kern w:val="0"/>
          <w:sz w:val="28"/>
          <w:szCs w:val="28"/>
        </w:rPr>
        <w:t>加南京市玄武区民政局</w:t>
      </w:r>
      <w:r>
        <w:rPr>
          <w:rFonts w:hint="eastAsia" w:ascii="仿宋_GB2312" w:hAnsi="仿宋" w:eastAsia="仿宋_GB2312" w:cs="宋体"/>
          <w:kern w:val="0"/>
          <w:sz w:val="28"/>
          <w:szCs w:val="28"/>
        </w:rPr>
        <w:t>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color w:val="FF0000"/>
          <w:kern w:val="0"/>
          <w:sz w:val="28"/>
          <w:szCs w:val="28"/>
        </w:rPr>
      </w:pPr>
      <w:r>
        <w:rPr>
          <w:rFonts w:hint="eastAsia" w:ascii="仿宋_GB2312" w:hAnsi="仿宋" w:eastAsia="仿宋_GB2312" w:cs="宋体"/>
          <w:color w:val="FF0000"/>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color w:val="FF0000"/>
          <w:kern w:val="0"/>
          <w:sz w:val="28"/>
          <w:szCs w:val="28"/>
        </w:rPr>
      </w:pPr>
      <w:r>
        <w:rPr>
          <w:rFonts w:hint="eastAsia" w:ascii="仿宋_GB2312" w:hAnsi="仿宋" w:eastAsia="仿宋_GB2312" w:cs="宋体"/>
          <w:color w:val="FF0000"/>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color w:val="FF0000"/>
          <w:kern w:val="0"/>
          <w:sz w:val="28"/>
          <w:szCs w:val="28"/>
        </w:rPr>
      </w:pPr>
      <w:r>
        <w:rPr>
          <w:rFonts w:hint="eastAsia" w:ascii="仿宋_GB2312" w:hAnsi="仿宋" w:eastAsia="仿宋_GB2312" w:cs="宋体"/>
          <w:color w:val="FF0000"/>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w:t>
      </w:r>
      <w:r>
        <w:rPr>
          <w:rFonts w:hint="eastAsia" w:ascii="仿宋_GB2312" w:hAnsi="仿宋" w:eastAsia="仿宋_GB2312" w:cs="宋体"/>
          <w:color w:val="FF0000"/>
          <w:kern w:val="0"/>
          <w:sz w:val="28"/>
          <w:szCs w:val="28"/>
        </w:rPr>
        <w:t>南京市玄武区民政局</w:t>
      </w:r>
      <w:r>
        <w:rPr>
          <w:rFonts w:hint="eastAsia" w:ascii="仿宋_GB2312" w:hAnsi="仿宋" w:eastAsia="仿宋_GB2312" w:cs="宋体"/>
          <w:kern w:val="0"/>
          <w:sz w:val="28"/>
          <w:szCs w:val="28"/>
        </w:rPr>
        <w:t>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color w:val="FF0000"/>
          <w:sz w:val="28"/>
          <w:szCs w:val="28"/>
        </w:rPr>
      </w:pPr>
      <w:r>
        <w:rPr>
          <w:rFonts w:hint="eastAsia" w:ascii="仿宋_GB2312" w:hAnsi="仿宋" w:eastAsia="仿宋_GB2312" w:cs="宋体"/>
          <w:color w:val="FF0000"/>
          <w:kern w:val="0"/>
          <w:sz w:val="28"/>
          <w:szCs w:val="28"/>
        </w:rPr>
        <w:t>6、付款方式：</w:t>
      </w:r>
      <w:r>
        <w:rPr>
          <w:rFonts w:hint="eastAsia" w:ascii="仿宋_GB2312" w:hAnsi="宋体" w:eastAsia="仿宋_GB2312" w:cs="宋体"/>
          <w:bCs/>
          <w:color w:val="FF0000"/>
          <w:kern w:val="0"/>
          <w:sz w:val="28"/>
          <w:szCs w:val="28"/>
          <w:lang w:val="zh-CN"/>
        </w:rPr>
        <w:t>合同签订20个工作日内支付合同价的50%作为预付款；待项目中期评估合格后，付清余款。</w:t>
      </w:r>
      <w:r>
        <w:rPr>
          <w:rFonts w:hint="eastAsia" w:ascii="仿宋_GB2312" w:hAnsi="宋体" w:eastAsia="仿宋_GB2312"/>
          <w:bCs/>
          <w:color w:val="FF0000"/>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（一）项目简介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本项目为2018年度南京市玄武区公益创投养老服务项目（第二批），共计6个分包项目，扶持资金共46万元。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2" w:firstLineChars="200"/>
        <w:rPr>
          <w:rFonts w:ascii="仿宋_GB2312" w:eastAsia="仿宋_GB2312"/>
          <w:bCs/>
          <w:kern w:val="0"/>
          <w:sz w:val="28"/>
          <w:szCs w:val="28"/>
        </w:rPr>
      </w:pPr>
      <w:r>
        <w:rPr>
          <w:rFonts w:hint="eastAsia" w:ascii="仿宋_GB2312" w:eastAsia="仿宋_GB2312"/>
          <w:b/>
          <w:bCs/>
          <w:kern w:val="0"/>
          <w:sz w:val="28"/>
          <w:szCs w:val="28"/>
        </w:rPr>
        <w:t>1、</w:t>
      </w:r>
      <w:r>
        <w:rPr>
          <w:rFonts w:hint="eastAsia" w:ascii="仿宋_GB2312" w:eastAsia="仿宋_GB2312"/>
          <w:bCs/>
          <w:kern w:val="0"/>
          <w:sz w:val="28"/>
          <w:szCs w:val="28"/>
        </w:rPr>
        <w:t>养老服务内容指引清单：</w:t>
      </w:r>
    </w:p>
    <w:tbl>
      <w:tblPr>
        <w:tblStyle w:val="50"/>
        <w:tblW w:w="9750"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00"/>
        <w:gridCol w:w="3570"/>
        <w:gridCol w:w="1980"/>
        <w:gridCol w:w="1560"/>
        <w:gridCol w:w="14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分包号</w:t>
            </w:r>
          </w:p>
        </w:tc>
        <w:tc>
          <w:tcPr>
            <w:tcW w:w="3570"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项目服务范围</w:t>
            </w:r>
          </w:p>
        </w:tc>
        <w:tc>
          <w:tcPr>
            <w:tcW w:w="1980"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实施区域范围</w:t>
            </w:r>
          </w:p>
        </w:tc>
        <w:tc>
          <w:tcPr>
            <w:tcW w:w="1560" w:type="dxa"/>
            <w:vAlign w:val="center"/>
          </w:tcPr>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服务对象</w:t>
            </w:r>
          </w:p>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（人数）</w:t>
            </w:r>
          </w:p>
        </w:tc>
        <w:tc>
          <w:tcPr>
            <w:tcW w:w="1440" w:type="dxa"/>
            <w:vAlign w:val="center"/>
          </w:tcPr>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资助金额</w:t>
            </w:r>
          </w:p>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分包1</w:t>
            </w:r>
          </w:p>
        </w:tc>
        <w:tc>
          <w:tcPr>
            <w:tcW w:w="357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失能半失能困难家庭养老床位</w:t>
            </w:r>
          </w:p>
        </w:tc>
        <w:tc>
          <w:tcPr>
            <w:tcW w:w="198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玄武区内（不限定区域）</w:t>
            </w:r>
          </w:p>
        </w:tc>
        <w:tc>
          <w:tcPr>
            <w:tcW w:w="156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分包2</w:t>
            </w:r>
          </w:p>
        </w:tc>
        <w:tc>
          <w:tcPr>
            <w:tcW w:w="3570" w:type="dxa"/>
            <w:vAlign w:val="center"/>
          </w:tcPr>
          <w:p>
            <w:pPr>
              <w:spacing w:line="5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老年教育服务</w:t>
            </w:r>
          </w:p>
        </w:tc>
        <w:tc>
          <w:tcPr>
            <w:tcW w:w="198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玄武区内（不限定区域）</w:t>
            </w:r>
          </w:p>
        </w:tc>
        <w:tc>
          <w:tcPr>
            <w:tcW w:w="1560" w:type="dxa"/>
            <w:vAlign w:val="center"/>
          </w:tcPr>
          <w:p>
            <w:pPr>
              <w:spacing w:line="560" w:lineRule="exact"/>
              <w:jc w:val="center"/>
              <w:rPr>
                <w:rFonts w:ascii="仿宋_GB2312" w:hAnsi="仿宋_GB2312" w:eastAsia="仿宋_GB2312" w:cs="仿宋_GB2312"/>
                <w:kern w:val="0"/>
                <w:sz w:val="24"/>
                <w:szCs w:val="24"/>
              </w:rPr>
            </w:pPr>
            <w:r>
              <w:rPr>
                <w:rFonts w:ascii="仿宋_GB2312" w:hAnsi="仿宋_GB2312" w:eastAsia="仿宋_GB2312" w:cs="仿宋_GB2312"/>
                <w:kern w:val="0"/>
                <w:sz w:val="24"/>
                <w:szCs w:val="24"/>
              </w:rPr>
              <w:t>100人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分包3</w:t>
            </w:r>
          </w:p>
        </w:tc>
        <w:tc>
          <w:tcPr>
            <w:tcW w:w="357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失地农民老年群体帮扶服务</w:t>
            </w:r>
          </w:p>
        </w:tc>
        <w:tc>
          <w:tcPr>
            <w:tcW w:w="198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玄武区内（不限定区域）</w:t>
            </w:r>
          </w:p>
        </w:tc>
        <w:tc>
          <w:tcPr>
            <w:tcW w:w="156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50—100人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分包4</w:t>
            </w:r>
          </w:p>
        </w:tc>
        <w:tc>
          <w:tcPr>
            <w:tcW w:w="357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重度失能老年人家庭喘息服务</w:t>
            </w:r>
          </w:p>
        </w:tc>
        <w:tc>
          <w:tcPr>
            <w:tcW w:w="198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玄武区内（不限定区域）</w:t>
            </w:r>
          </w:p>
        </w:tc>
        <w:tc>
          <w:tcPr>
            <w:tcW w:w="156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分包5</w:t>
            </w:r>
          </w:p>
        </w:tc>
        <w:tc>
          <w:tcPr>
            <w:tcW w:w="357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阿尔茨海默病（AD）老年人的照护培训和应急救援服务</w:t>
            </w:r>
          </w:p>
        </w:tc>
        <w:tc>
          <w:tcPr>
            <w:tcW w:w="198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玄武区内（不限定区域）</w:t>
            </w:r>
          </w:p>
        </w:tc>
        <w:tc>
          <w:tcPr>
            <w:tcW w:w="156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分包6</w:t>
            </w:r>
          </w:p>
        </w:tc>
        <w:tc>
          <w:tcPr>
            <w:tcW w:w="357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困难老人的生活照料和健康指导服务</w:t>
            </w:r>
          </w:p>
        </w:tc>
        <w:tc>
          <w:tcPr>
            <w:tcW w:w="198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红山全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街道</w:t>
            </w:r>
          </w:p>
        </w:tc>
        <w:tc>
          <w:tcPr>
            <w:tcW w:w="156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50-100人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r>
    </w:tbl>
    <w:p>
      <w:pPr>
        <w:spacing w:line="560" w:lineRule="exact"/>
        <w:ind w:firstLine="562" w:firstLineChars="200"/>
        <w:rPr>
          <w:rFonts w:ascii="仿宋_GB2312" w:hAnsi="仿宋_GB2312" w:eastAsia="仿宋_GB2312" w:cs="仿宋_GB2312"/>
          <w:b/>
          <w:bCs/>
          <w:color w:val="000000" w:themeColor="text1"/>
          <w:kern w:val="0"/>
          <w:sz w:val="28"/>
          <w:szCs w:val="28"/>
        </w:rPr>
      </w:pPr>
      <w:r>
        <w:rPr>
          <w:rFonts w:hint="eastAsia" w:ascii="仿宋_GB2312" w:hAnsi="仿宋_GB2312" w:eastAsia="仿宋_GB2312" w:cs="仿宋_GB2312"/>
          <w:b/>
          <w:bCs/>
          <w:color w:val="000000" w:themeColor="text1"/>
          <w:kern w:val="0"/>
          <w:sz w:val="28"/>
          <w:szCs w:val="28"/>
        </w:rPr>
        <w:t>2、具体需求</w:t>
      </w:r>
    </w:p>
    <w:tbl>
      <w:tblPr>
        <w:tblStyle w:val="49"/>
        <w:tblpPr w:leftFromText="180" w:rightFromText="180" w:vertAnchor="text" w:horzAnchor="margin" w:tblpXSpec="center" w:tblpY="38"/>
        <w:tblW w:w="9763" w:type="dxa"/>
        <w:tblInd w:w="844" w:type="dxa"/>
        <w:tblLayout w:type="fixed"/>
        <w:tblCellMar>
          <w:top w:w="0" w:type="dxa"/>
          <w:left w:w="30" w:type="dxa"/>
          <w:bottom w:w="0" w:type="dxa"/>
          <w:right w:w="30" w:type="dxa"/>
        </w:tblCellMar>
      </w:tblPr>
      <w:tblGrid>
        <w:gridCol w:w="913"/>
        <w:gridCol w:w="3638"/>
        <w:gridCol w:w="5212"/>
      </w:tblGrid>
      <w:tr>
        <w:tblPrEx>
          <w:tblLayout w:type="fixed"/>
          <w:tblCellMar>
            <w:top w:w="0" w:type="dxa"/>
            <w:left w:w="30" w:type="dxa"/>
            <w:bottom w:w="0" w:type="dxa"/>
            <w:right w:w="30" w:type="dxa"/>
          </w:tblCellMar>
        </w:tblPrEx>
        <w:trPr>
          <w:trHeight w:val="860" w:hRule="atLeast"/>
        </w:trPr>
        <w:tc>
          <w:tcPr>
            <w:tcW w:w="9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分包号</w:t>
            </w:r>
          </w:p>
        </w:tc>
        <w:tc>
          <w:tcPr>
            <w:tcW w:w="363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项目目标</w:t>
            </w:r>
          </w:p>
        </w:tc>
        <w:tc>
          <w:tcPr>
            <w:tcW w:w="52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项目服务指标（包括但不限于以下指标，鼓励创新项目运作形式）</w:t>
            </w:r>
          </w:p>
        </w:tc>
      </w:tr>
      <w:tr>
        <w:tblPrEx>
          <w:tblLayout w:type="fixed"/>
          <w:tblCellMar>
            <w:top w:w="0" w:type="dxa"/>
            <w:left w:w="30" w:type="dxa"/>
            <w:bottom w:w="0" w:type="dxa"/>
            <w:right w:w="30" w:type="dxa"/>
          </w:tblCellMar>
        </w:tblPrEx>
        <w:trPr>
          <w:trHeight w:val="970" w:hRule="atLeast"/>
        </w:trPr>
        <w:tc>
          <w:tcPr>
            <w:tcW w:w="9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分包1</w:t>
            </w:r>
          </w:p>
        </w:tc>
        <w:tc>
          <w:tcPr>
            <w:tcW w:w="3638"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本项目通过为失能失智半失能老人开展家庭养老床位服务，解决这部分群体的照护需求，缓解家庭照护的负担。</w:t>
            </w:r>
          </w:p>
        </w:tc>
        <w:tc>
          <w:tcPr>
            <w:tcW w:w="5212"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为有失能半失能老人的困难家庭提供上门或老人入驻机构照料服务全年累计不少于15天，且提供以下服务：1、生活照料服务：助餐、清洁、照料护理等基本生活照料服务；</w:t>
            </w:r>
          </w:p>
          <w:p>
            <w:pPr>
              <w:widowControl/>
              <w:numPr>
                <w:ilvl w:val="0"/>
                <w:numId w:val="1"/>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电子信息化服务：安装紧急呼叫服务、紧急呼叫及时上门，常态掌握老人生理及活动情况 ；</w:t>
            </w:r>
          </w:p>
          <w:p>
            <w:pPr>
              <w:widowControl/>
              <w:numPr>
                <w:ilvl w:val="0"/>
                <w:numId w:val="1"/>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康复护理服务：建立健康服务档案，测量血压、测量血糖，根据老人病情提供康复理疗：</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4、医疗护理服务：提供医疗照护服务。 </w:t>
            </w:r>
          </w:p>
        </w:tc>
      </w:tr>
      <w:tr>
        <w:tblPrEx>
          <w:tblLayout w:type="fixed"/>
          <w:tblCellMar>
            <w:top w:w="0" w:type="dxa"/>
            <w:left w:w="30" w:type="dxa"/>
            <w:bottom w:w="0" w:type="dxa"/>
            <w:right w:w="30" w:type="dxa"/>
          </w:tblCellMar>
        </w:tblPrEx>
        <w:trPr>
          <w:trHeight w:val="4319" w:hRule="atLeast"/>
        </w:trPr>
        <w:tc>
          <w:tcPr>
            <w:tcW w:w="9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分包2</w:t>
            </w:r>
          </w:p>
        </w:tc>
        <w:tc>
          <w:tcPr>
            <w:tcW w:w="3638"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通过专业服务和系列活动，使老年人增长知识、开阔视野、丰富生活、增强体质。让老人能老有所学、老有所乐。</w:t>
            </w:r>
          </w:p>
        </w:tc>
        <w:tc>
          <w:tcPr>
            <w:tcW w:w="5212" w:type="dxa"/>
            <w:tcBorders>
              <w:top w:val="single" w:color="auto" w:sz="6" w:space="0"/>
              <w:left w:val="single" w:color="auto" w:sz="6" w:space="0"/>
              <w:bottom w:val="single" w:color="auto" w:sz="6" w:space="0"/>
              <w:right w:val="single" w:color="auto" w:sz="6" w:space="0"/>
            </w:tcBorders>
            <w:vAlign w:val="center"/>
          </w:tcPr>
          <w:p>
            <w:pPr>
              <w:widowControl/>
              <w:numPr>
                <w:ilvl w:val="0"/>
                <w:numId w:val="2"/>
              </w:numPr>
              <w:spacing w:after="210"/>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以老年人为服务对象，开展老年健康养生权益维护、防诈骗知识等讲座全年不少于4次；</w:t>
            </w:r>
          </w:p>
          <w:p>
            <w:pPr>
              <w:widowControl/>
              <w:numPr>
                <w:ilvl w:val="0"/>
                <w:numId w:val="2"/>
              </w:numPr>
              <w:spacing w:after="210"/>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为每位学员设计个性化教学计划，根据老年人的需求开设如舞蹈、书法、棋类等老年学习班；</w:t>
            </w:r>
          </w:p>
          <w:p>
            <w:pPr>
              <w:widowControl/>
              <w:spacing w:after="210"/>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3、每月组织开展1-2次社区老年人文体活动，充分挖掘老年人潜能；4. 服务对象满意度不低于85%。</w:t>
            </w:r>
          </w:p>
        </w:tc>
      </w:tr>
      <w:tr>
        <w:tblPrEx>
          <w:tblLayout w:type="fixed"/>
          <w:tblCellMar>
            <w:top w:w="0" w:type="dxa"/>
            <w:left w:w="30" w:type="dxa"/>
            <w:bottom w:w="0" w:type="dxa"/>
            <w:right w:w="30" w:type="dxa"/>
          </w:tblCellMar>
        </w:tblPrEx>
        <w:trPr>
          <w:trHeight w:val="985" w:hRule="atLeast"/>
        </w:trPr>
        <w:tc>
          <w:tcPr>
            <w:tcW w:w="9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分包3</w:t>
            </w:r>
          </w:p>
        </w:tc>
        <w:tc>
          <w:tcPr>
            <w:tcW w:w="3638"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通过为失地农民老人情况提供专业服务，满足他们最急需的心理、身体、生活上的迫切需求问题，使该人群得到社会的广泛关注。</w:t>
            </w:r>
          </w:p>
        </w:tc>
        <w:tc>
          <w:tcPr>
            <w:tcW w:w="5212"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为高龄失地老人提供以下专业服务：1、开展以医护、助餐、生活照料、家政等服务为主的上门服务，每月不少于2次；</w:t>
            </w:r>
          </w:p>
          <w:p>
            <w:pPr>
              <w:widowControl/>
              <w:numPr>
                <w:ilvl w:val="0"/>
                <w:numId w:val="3"/>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结合周边商家和爱心人士，建立失地老人与志愿者“一对一”互助式服务团队与帮扶，不少于30对；</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3、每月组织文体、交流活动，加强老人社会融入社会支持服务不少于1次。</w:t>
            </w:r>
          </w:p>
        </w:tc>
      </w:tr>
      <w:tr>
        <w:tblPrEx>
          <w:tblLayout w:type="fixed"/>
          <w:tblCellMar>
            <w:top w:w="0" w:type="dxa"/>
            <w:left w:w="30" w:type="dxa"/>
            <w:bottom w:w="0" w:type="dxa"/>
            <w:right w:w="30" w:type="dxa"/>
          </w:tblCellMar>
        </w:tblPrEx>
        <w:trPr>
          <w:trHeight w:val="985" w:hRule="atLeast"/>
        </w:trPr>
        <w:tc>
          <w:tcPr>
            <w:tcW w:w="9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分包4</w:t>
            </w:r>
          </w:p>
        </w:tc>
        <w:tc>
          <w:tcPr>
            <w:tcW w:w="3638"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通过政府购买服务的方式，为居家重度失能老人免费提供一定时间照护服务，让长期照料老人的家属得以喘息，疏解压力，减轻照顾负担。</w:t>
            </w:r>
          </w:p>
        </w:tc>
        <w:tc>
          <w:tcPr>
            <w:tcW w:w="5212"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为重度失能老人家庭提供连续不少于15天的专业服务，包括以下内容：1、基本生活照料：一日三餐、家政服务等；</w:t>
            </w:r>
          </w:p>
          <w:p>
            <w:pPr>
              <w:widowControl/>
              <w:numPr>
                <w:ilvl w:val="0"/>
                <w:numId w:val="3"/>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医疗护理服务：提供康复理疗、健康管理等居家医疗护理服务；</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3、精神慰藉服务：为老人提供亲情关怀服务、陪聊等；4、监测管理服务：为老人提供电子监测紧急呼叫救助等服务。 </w:t>
            </w:r>
          </w:p>
        </w:tc>
      </w:tr>
      <w:tr>
        <w:tblPrEx>
          <w:tblLayout w:type="fixed"/>
          <w:tblCellMar>
            <w:top w:w="0" w:type="dxa"/>
            <w:left w:w="30" w:type="dxa"/>
            <w:bottom w:w="0" w:type="dxa"/>
            <w:right w:w="30" w:type="dxa"/>
          </w:tblCellMar>
        </w:tblPrEx>
        <w:trPr>
          <w:trHeight w:val="985" w:hRule="atLeast"/>
        </w:trPr>
        <w:tc>
          <w:tcPr>
            <w:tcW w:w="9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分包5</w:t>
            </w:r>
          </w:p>
        </w:tc>
        <w:tc>
          <w:tcPr>
            <w:tcW w:w="3638"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为居家阿尔茨海默病（AD）老人及照护者提供照护培训，建立应急志愿团队，构建社区帮扶志友网络。</w:t>
            </w:r>
          </w:p>
        </w:tc>
        <w:tc>
          <w:tcPr>
            <w:tcW w:w="5212" w:type="dxa"/>
            <w:tcBorders>
              <w:top w:val="single" w:color="auto" w:sz="6" w:space="0"/>
              <w:left w:val="single" w:color="auto" w:sz="6" w:space="0"/>
              <w:bottom w:val="single" w:color="auto" w:sz="6" w:space="0"/>
              <w:right w:val="single" w:color="auto" w:sz="6" w:space="0"/>
            </w:tcBorders>
            <w:vAlign w:val="center"/>
          </w:tcPr>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为居家阿尔茨海默病（AD）老人及家庭提供以下服务：1、患病老人及家庭提供专业和社会支持服务，每月上门入户2次；</w:t>
            </w:r>
          </w:p>
          <w:p>
            <w:pPr>
              <w:widowControl/>
              <w:numPr>
                <w:ilvl w:val="0"/>
                <w:numId w:val="4"/>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建立应急救援志愿团队并进行培训，使其掌握专业救援技能，建立老人周边的应急救援志愿者网络；</w:t>
            </w:r>
          </w:p>
          <w:p>
            <w:pPr>
              <w:widowControl/>
              <w:numPr>
                <w:ilvl w:val="0"/>
                <w:numId w:val="4"/>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对患者的家庭提供老人照顾培训、心理疏导及应急措施培训等服务；</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4、服务对象满意度不低于85%。 </w:t>
            </w:r>
          </w:p>
        </w:tc>
      </w:tr>
      <w:tr>
        <w:tblPrEx>
          <w:tblLayout w:type="fixed"/>
          <w:tblCellMar>
            <w:top w:w="0" w:type="dxa"/>
            <w:left w:w="30" w:type="dxa"/>
            <w:bottom w:w="0" w:type="dxa"/>
            <w:right w:w="30" w:type="dxa"/>
          </w:tblCellMar>
        </w:tblPrEx>
        <w:trPr>
          <w:trHeight w:val="985" w:hRule="atLeast"/>
        </w:trPr>
        <w:tc>
          <w:tcPr>
            <w:tcW w:w="9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分包6</w:t>
            </w:r>
          </w:p>
        </w:tc>
        <w:tc>
          <w:tcPr>
            <w:tcW w:w="3638"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为服务对象提供系列性、专业性服务，搭建各类交流平台，培养的志愿者骨干，达到提高生活质量的目标，</w:t>
            </w:r>
          </w:p>
        </w:tc>
        <w:tc>
          <w:tcPr>
            <w:tcW w:w="5212" w:type="dxa"/>
            <w:tcBorders>
              <w:top w:val="single" w:color="auto" w:sz="6" w:space="0"/>
              <w:left w:val="single" w:color="auto" w:sz="6" w:space="0"/>
              <w:bottom w:val="single" w:color="auto" w:sz="6" w:space="0"/>
              <w:right w:val="single" w:color="auto" w:sz="6" w:space="0"/>
            </w:tcBorders>
            <w:vAlign w:val="center"/>
          </w:tcPr>
          <w:p>
            <w:pPr>
              <w:widowControl/>
              <w:numPr>
                <w:ilvl w:val="0"/>
                <w:numId w:val="5"/>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为服务对象提供生活照料或健康指导等服务每周不少于1次；</w:t>
            </w:r>
          </w:p>
          <w:p>
            <w:pPr>
              <w:widowControl/>
              <w:numPr>
                <w:ilvl w:val="0"/>
                <w:numId w:val="5"/>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全年开展不少于4次集体交流活动，每次不少于50人；</w:t>
            </w:r>
          </w:p>
          <w:p>
            <w:pPr>
              <w:widowControl/>
              <w:numPr>
                <w:ilvl w:val="0"/>
                <w:numId w:val="5"/>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培育志愿服务骨干，不少于10人，参与街道为老志愿服务；</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4、结合传统节日及纪念日，开展专业服务和活动。</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服务对象：服务对象为实施区域内的老年人群体，原则每个项目直接受益人不得少于50人（特殊情况不少于30人），项目需求表中有特殊要求的，以需求表要求为准。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6"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项目名称：2018年度南京市玄武区公益创投养老服务项目第二批</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项目编号：XWMZ-2018082702</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72"/>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项目名称：2018年度南京市玄武区公益创投养老服务项目第二批</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项目编号：XWMZ-2018082702</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rPr>
          <w:rFonts w:ascii="仿宋_GB2312" w:eastAsia="仿宋_GB2312"/>
          <w:b/>
          <w:color w:val="000000" w:themeColor="text1"/>
          <w:sz w:val="36"/>
        </w:rPr>
      </w:pPr>
    </w:p>
    <w:p>
      <w:pPr>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u w:val="single"/>
        </w:rPr>
      </w:pPr>
      <w:r>
        <w:rPr>
          <w:rFonts w:hint="eastAsia" w:ascii="仿宋_GB2312" w:hAnsi="Times New Roman" w:eastAsia="仿宋_GB2312"/>
          <w:kern w:val="2"/>
          <w:szCs w:val="21"/>
        </w:rPr>
        <w:t>项目名称：2018年度南京市玄武区公益创投养老服务项目第二批分包</w:t>
      </w:r>
      <w:r>
        <w:rPr>
          <w:rFonts w:hint="eastAsia" w:ascii="仿宋_GB2312" w:hAnsi="Times New Roman" w:eastAsia="仿宋_GB2312"/>
          <w:kern w:val="2"/>
          <w:szCs w:val="21"/>
          <w:u w:val="single"/>
        </w:rPr>
        <w:t xml:space="preserve">  </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项目编号：XWMZ-2018082702</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074"/>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848"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074"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848"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074"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074"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2018年度南京市玄武区公益创投</w:t>
      </w:r>
      <w:r>
        <w:rPr>
          <w:rFonts w:hint="eastAsia" w:ascii="仿宋_GB2312" w:hAnsi="Calibri" w:eastAsia="仿宋_GB2312" w:cs="Times New Roman"/>
          <w:sz w:val="28"/>
          <w:szCs w:val="28"/>
          <w:u w:val="single"/>
        </w:rPr>
        <w:t xml:space="preserve"> 养老服务 </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 xml:space="preserve">  二   </w:t>
      </w:r>
      <w:r>
        <w:rPr>
          <w:rFonts w:hint="eastAsia" w:ascii="仿宋_GB2312" w:hAnsi="Calibri" w:eastAsia="仿宋_GB2312" w:cs="Times New Roman"/>
          <w:sz w:val="28"/>
          <w:szCs w:val="28"/>
        </w:rPr>
        <w:t>批分包</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 xml:space="preserve"> </w:t>
      </w:r>
    </w:p>
    <w:p>
      <w:pPr>
        <w:ind w:firstLine="480"/>
        <w:rPr>
          <w:rFonts w:ascii="仿宋_GB2312" w:eastAsia="仿宋_GB2312"/>
          <w:b/>
          <w:sz w:val="28"/>
          <w:szCs w:val="28"/>
          <w:u w:val="single"/>
        </w:rPr>
      </w:pPr>
      <w:r>
        <w:rPr>
          <w:rFonts w:hint="eastAsia" w:ascii="仿宋_GB2312" w:hAnsi="Calibri" w:eastAsia="仿宋_GB2312" w:cs="Times New Roman"/>
          <w:sz w:val="28"/>
          <w:szCs w:val="28"/>
        </w:rPr>
        <w:t>项</w:t>
      </w:r>
      <w:r>
        <w:rPr>
          <w:rFonts w:hint="eastAsia" w:ascii="仿宋_GB2312" w:eastAsia="仿宋_GB2312"/>
          <w:b/>
          <w:sz w:val="28"/>
          <w:szCs w:val="28"/>
        </w:rPr>
        <w:t>目编号：</w:t>
      </w:r>
      <w:r>
        <w:rPr>
          <w:rFonts w:hint="eastAsia" w:ascii="仿宋_GB2312" w:hAnsi="Calibri" w:eastAsia="仿宋_GB2312" w:cs="Times New Roman"/>
          <w:b/>
          <w:sz w:val="28"/>
          <w:szCs w:val="28"/>
          <w:u w:val="single"/>
        </w:rPr>
        <w:t xml:space="preserve">XWMZ-2018082702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sz w:val="32"/>
          <w:szCs w:val="32"/>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5" w:name="_Toc513029281"/>
      <w:bookmarkStart w:id="6" w:name="_Toc24878535"/>
      <w:bookmarkStart w:id="7" w:name="_Toc120614291"/>
      <w:bookmarkStart w:id="8" w:name="_Toc26554103"/>
      <w:bookmarkStart w:id="9" w:name="_Toc49090582"/>
      <w:bookmarkStart w:id="10" w:name="_Toc23828483"/>
      <w:bookmarkStart w:id="11" w:name="_Toc22356583"/>
      <w:bookmarkStart w:id="12" w:name="_Toc120614284"/>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南京市玄武区民政局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XWMZ-2018082702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u w:val="single"/>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2018年度南京市玄武区公益创投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u w:val="single"/>
        </w:rPr>
        <w:t>养老服务项目第二批</w:t>
      </w:r>
      <w:r>
        <w:rPr>
          <w:rFonts w:hint="eastAsia" w:ascii="仿宋_GB2312" w:eastAsia="仿宋_GB2312"/>
          <w:sz w:val="28"/>
          <w:szCs w:val="28"/>
          <w:highlight w:val="yellow"/>
          <w:u w:val="single"/>
        </w:rPr>
        <w:t xml:space="preserve">分包X </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XWMZ-2018082702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w:t>
      </w:r>
      <w:r>
        <w:rPr>
          <w:rFonts w:hint="eastAsia" w:ascii="仿宋_GB2312" w:hAnsi="Times New Roman" w:eastAsia="仿宋_GB2312"/>
          <w:kern w:val="2"/>
          <w:sz w:val="28"/>
          <w:szCs w:val="28"/>
          <w:u w:val="single"/>
        </w:rPr>
        <w:t>2018年度南京市玄武区公益创投养老服务项目第二批</w:t>
      </w:r>
      <w:r>
        <w:rPr>
          <w:rFonts w:hint="eastAsia" w:ascii="仿宋_GB2312" w:hAnsi="Times New Roman" w:eastAsia="仿宋_GB2312"/>
          <w:kern w:val="2"/>
          <w:sz w:val="28"/>
          <w:szCs w:val="28"/>
          <w:highlight w:val="yellow"/>
          <w:u w:val="single"/>
        </w:rPr>
        <w:t>分包X</w:t>
      </w:r>
      <w:r>
        <w:rPr>
          <w:rFonts w:hint="eastAsia" w:ascii="仿宋_GB2312" w:hAnsi="Times New Roman" w:eastAsia="仿宋_GB2312"/>
          <w:kern w:val="2"/>
          <w:sz w:val="28"/>
          <w:szCs w:val="28"/>
        </w:rPr>
        <w:t>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513029276"/>
      <w:bookmarkEnd w:id="13"/>
      <w:bookmarkStart w:id="14" w:name="_格式3__银行出具的资信证明"/>
      <w:bookmarkEnd w:id="14"/>
      <w:bookmarkStart w:id="15" w:name="_Toc26554095"/>
      <w:bookmarkEnd w:id="15"/>
      <w:bookmarkStart w:id="16" w:name="_格式2__法定代表人授权书"/>
      <w:bookmarkEnd w:id="16"/>
      <w:bookmarkStart w:id="17" w:name="_Hlt26955070"/>
      <w:bookmarkEnd w:id="17"/>
      <w:bookmarkStart w:id="18" w:name="_Toc120614283"/>
      <w:bookmarkEnd w:id="18"/>
      <w:bookmarkStart w:id="19" w:name="_Toc460901585"/>
      <w:bookmarkEnd w:id="19"/>
      <w:bookmarkStart w:id="20" w:name="_Toc22356580"/>
      <w:bookmarkEnd w:id="20"/>
      <w:bookmarkStart w:id="21" w:name="_Toc49090577"/>
      <w:bookmarkEnd w:id="21"/>
      <w:bookmarkStart w:id="22" w:name="_Toc23828478"/>
      <w:bookmarkEnd w:id="22"/>
      <w:bookmarkStart w:id="23" w:name="_Hlt26671380"/>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南京市玄武区民政局：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color w:val="FF0000"/>
          <w:sz w:val="44"/>
        </w:rPr>
      </w:pPr>
      <w:r>
        <w:rPr>
          <w:rFonts w:hint="eastAsia" w:ascii="仿宋_GB2312" w:hAnsi="黑体" w:eastAsia="仿宋_GB2312"/>
          <w:b/>
          <w:color w:val="FF0000"/>
          <w:sz w:val="44"/>
        </w:rPr>
        <w:t>南京市玄武区2018年度公益创投项目申报书</w:t>
      </w:r>
    </w:p>
    <w:p>
      <w:pPr>
        <w:widowControl/>
        <w:spacing w:line="600" w:lineRule="exact"/>
        <w:jc w:val="center"/>
        <w:rPr>
          <w:rFonts w:ascii="仿宋_GB2312" w:hAnsi="黑体" w:eastAsia="仿宋_GB2312" w:cs="Times New Roman"/>
          <w:b/>
          <w:color w:val="FF0000"/>
          <w:sz w:val="44"/>
        </w:rPr>
      </w:pPr>
    </w:p>
    <w:p>
      <w:pPr>
        <w:widowControl/>
        <w:spacing w:line="480" w:lineRule="exact"/>
        <w:jc w:val="center"/>
        <w:rPr>
          <w:rFonts w:ascii="仿宋_GB2312" w:hAnsi="黑体" w:eastAsia="仿宋_GB2312" w:cs="Times New Roman"/>
          <w:color w:val="FF0000"/>
          <w:sz w:val="44"/>
        </w:rPr>
      </w:pPr>
    </w:p>
    <w:p>
      <w:pPr>
        <w:widowControl/>
        <w:spacing w:line="480" w:lineRule="exact"/>
        <w:jc w:val="left"/>
        <w:rPr>
          <w:rFonts w:ascii="仿宋_GB2312" w:hAnsi="Calibri" w:eastAsia="仿宋_GB2312" w:cs="Times New Roman"/>
          <w:color w:val="FF0000"/>
          <w:sz w:val="44"/>
        </w:rPr>
      </w:pPr>
    </w:p>
    <w:p>
      <w:pPr>
        <w:widowControl/>
        <w:spacing w:line="480" w:lineRule="exact"/>
        <w:ind w:firstLine="840" w:firstLineChars="300"/>
        <w:jc w:val="left"/>
        <w:rPr>
          <w:rFonts w:ascii="仿宋_GB2312" w:hAnsi="Calibri" w:eastAsia="仿宋_GB2312" w:cs="Times New Roman"/>
          <w:color w:val="FF0000"/>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XWMZ-2018082702</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项目名称: 2018年度南京市玄武区公益创投养老服务项目第二批</w:t>
      </w:r>
      <w:r>
        <w:rPr>
          <w:rFonts w:hint="eastAsia" w:ascii="仿宋_GB2312" w:hAnsi="仿宋_GB2312" w:eastAsia="仿宋_GB2312" w:cs="Times New Roman"/>
          <w:sz w:val="32"/>
          <w:highlight w:val="yellow"/>
        </w:rPr>
        <w:t>分包X</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南京市玄武区民政局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sym w:font="Wingdings 2" w:char="0052"/>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项目（第二批）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项目（第三批）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项目（第四批）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项目（第五批）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项目（第六批）</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□青少年服务</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t>□青少年服务</w:t>
            </w:r>
            <w:r>
              <w:rPr>
                <w:rFonts w:hint="eastAsia" w:ascii="仿宋_GB2312" w:hAnsi="Arial" w:eastAsia="仿宋_GB2312" w:cs="Arial"/>
                <w:color w:val="FF0000"/>
                <w:sz w:val="24"/>
                <w:szCs w:val="24"/>
              </w:rPr>
              <w:t xml:space="preserve">项目（第二批）         </w:t>
            </w:r>
            <w:r>
              <w:rPr>
                <w:rFonts w:hint="eastAsia" w:ascii="仿宋_GB2312" w:hAnsi="宋体" w:eastAsia="仿宋_GB2312" w:cs="Arial"/>
                <w:snapToGrid w:val="0"/>
                <w:color w:val="FF0000"/>
                <w:sz w:val="24"/>
                <w:szCs w:val="24"/>
              </w:rPr>
              <w:t>□青少年服务</w:t>
            </w:r>
            <w:r>
              <w:rPr>
                <w:rFonts w:hint="eastAsia" w:ascii="仿宋_GB2312" w:hAnsi="Arial" w:eastAsia="仿宋_GB2312" w:cs="Arial"/>
                <w:color w:val="FF0000"/>
                <w:sz w:val="24"/>
                <w:szCs w:val="24"/>
              </w:rPr>
              <w:t xml:space="preserve">项目（第三批）         </w:t>
            </w:r>
            <w:r>
              <w:rPr>
                <w:rFonts w:hint="eastAsia" w:ascii="仿宋_GB2312" w:hAnsi="宋体" w:eastAsia="仿宋_GB2312" w:cs="Arial"/>
                <w:snapToGrid w:val="0"/>
                <w:color w:val="FF0000"/>
                <w:sz w:val="24"/>
                <w:szCs w:val="24"/>
              </w:rPr>
              <w:t>□青少年服务</w:t>
            </w:r>
            <w:r>
              <w:rPr>
                <w:rFonts w:hint="eastAsia" w:ascii="仿宋_GB2312" w:hAnsi="Arial" w:eastAsia="仿宋_GB2312" w:cs="Arial"/>
                <w:color w:val="FF0000"/>
                <w:sz w:val="24"/>
                <w:szCs w:val="24"/>
              </w:rPr>
              <w:t>项目（第四批）</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□社区融合项目（第一批）           □社区融合项目（第二批）</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□慈善救助</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t>□慈善救助</w:t>
            </w:r>
            <w:r>
              <w:rPr>
                <w:rFonts w:hint="eastAsia" w:ascii="仿宋_GB2312" w:hAnsi="Arial" w:eastAsia="仿宋_GB2312" w:cs="Arial"/>
                <w:color w:val="FF0000"/>
                <w:sz w:val="24"/>
                <w:szCs w:val="24"/>
              </w:rPr>
              <w:t xml:space="preserve">项目（第二批）                   </w:t>
            </w:r>
            <w:r>
              <w:rPr>
                <w:rFonts w:hint="eastAsia" w:ascii="仿宋_GB2312" w:hAnsi="宋体" w:eastAsia="仿宋_GB2312" w:cs="Arial"/>
                <w:snapToGrid w:val="0"/>
                <w:color w:val="FF0000"/>
                <w:sz w:val="24"/>
                <w:szCs w:val="24"/>
              </w:rPr>
              <w:t xml:space="preserve">□调解治理项目 </w:t>
            </w:r>
            <w:r>
              <w:rPr>
                <w:rFonts w:hint="eastAsia" w:ascii="仿宋_GB2312" w:hAnsi="Arial" w:eastAsia="仿宋_GB2312" w:cs="Arial"/>
                <w:color w:val="FF0000"/>
                <w:sz w:val="24"/>
                <w:szCs w:val="24"/>
              </w:rPr>
              <w:t xml:space="preserve">                    </w:t>
            </w:r>
            <w:r>
              <w:rPr>
                <w:rFonts w:hint="eastAsia" w:ascii="仿宋_GB2312" w:hAnsi="宋体" w:eastAsia="仿宋_GB2312" w:cs="Arial"/>
                <w:snapToGrid w:val="0"/>
                <w:color w:val="FF0000"/>
                <w:sz w:val="24"/>
                <w:szCs w:val="24"/>
              </w:rPr>
              <w:t xml:space="preserve">□公益服务项目 </w:t>
            </w:r>
            <w:r>
              <w:rPr>
                <w:rFonts w:hint="eastAsia" w:ascii="仿宋_GB2312" w:hAnsi="Arial" w:eastAsia="仿宋_GB2312" w:cs="Arial"/>
                <w:color w:val="FF0000"/>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color w:val="FF000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color w:val="FF0000"/>
                <w:sz w:val="24"/>
                <w:szCs w:val="24"/>
              </w:rPr>
            </w:pPr>
            <w:r>
              <w:rPr>
                <w:rFonts w:hint="eastAsia" w:ascii="仿宋_GB2312" w:hAnsi="Arial" w:eastAsia="仿宋_GB2312" w:cs="Arial"/>
                <w:color w:val="FF0000"/>
                <w:sz w:val="24"/>
                <w:szCs w:val="24"/>
              </w:rPr>
              <w:t>是否曾获得区级及以上公益创投项目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5</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A32ECB"/>
    <w:multiLevelType w:val="singleLevel"/>
    <w:tmpl w:val="B8A32ECB"/>
    <w:lvl w:ilvl="0" w:tentative="0">
      <w:start w:val="2"/>
      <w:numFmt w:val="decimal"/>
      <w:suff w:val="nothing"/>
      <w:lvlText w:val="%1、"/>
      <w:lvlJc w:val="left"/>
    </w:lvl>
  </w:abstractNum>
  <w:abstractNum w:abstractNumId="1">
    <w:nsid w:val="CBC3B7A3"/>
    <w:multiLevelType w:val="singleLevel"/>
    <w:tmpl w:val="CBC3B7A3"/>
    <w:lvl w:ilvl="0" w:tentative="0">
      <w:start w:val="1"/>
      <w:numFmt w:val="decimal"/>
      <w:suff w:val="space"/>
      <w:lvlText w:val="%1."/>
      <w:lvlJc w:val="left"/>
    </w:lvl>
  </w:abstractNum>
  <w:abstractNum w:abstractNumId="2">
    <w:nsid w:val="DD2117D3"/>
    <w:multiLevelType w:val="singleLevel"/>
    <w:tmpl w:val="DD2117D3"/>
    <w:lvl w:ilvl="0" w:tentative="0">
      <w:start w:val="1"/>
      <w:numFmt w:val="decimal"/>
      <w:suff w:val="nothing"/>
      <w:lvlText w:val="%1、"/>
      <w:lvlJc w:val="left"/>
    </w:lvl>
  </w:abstractNum>
  <w:abstractNum w:abstractNumId="3">
    <w:nsid w:val="46A69021"/>
    <w:multiLevelType w:val="singleLevel"/>
    <w:tmpl w:val="46A69021"/>
    <w:lvl w:ilvl="0" w:tentative="0">
      <w:start w:val="2"/>
      <w:numFmt w:val="decimal"/>
      <w:suff w:val="nothing"/>
      <w:lvlText w:val="%1、"/>
      <w:lvlJc w:val="left"/>
    </w:lvl>
  </w:abstractNum>
  <w:abstractNum w:abstractNumId="4">
    <w:nsid w:val="774B5635"/>
    <w:multiLevelType w:val="singleLevel"/>
    <w:tmpl w:val="774B5635"/>
    <w:lvl w:ilvl="0" w:tentative="0">
      <w:start w:val="2"/>
      <w:numFmt w:val="decimal"/>
      <w:suff w:val="nothing"/>
      <w:lvlText w:val="%1、"/>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2776B"/>
    <w:rsid w:val="00032237"/>
    <w:rsid w:val="00040830"/>
    <w:rsid w:val="00051AD0"/>
    <w:rsid w:val="0005432C"/>
    <w:rsid w:val="000605A6"/>
    <w:rsid w:val="00062BA0"/>
    <w:rsid w:val="000660B0"/>
    <w:rsid w:val="0007217C"/>
    <w:rsid w:val="0007307A"/>
    <w:rsid w:val="00073C8B"/>
    <w:rsid w:val="00081224"/>
    <w:rsid w:val="000A1407"/>
    <w:rsid w:val="000A2CDD"/>
    <w:rsid w:val="000A567F"/>
    <w:rsid w:val="000B7F98"/>
    <w:rsid w:val="000C2F53"/>
    <w:rsid w:val="000C3937"/>
    <w:rsid w:val="000E0D28"/>
    <w:rsid w:val="000E5132"/>
    <w:rsid w:val="000F6BEE"/>
    <w:rsid w:val="000F7B5A"/>
    <w:rsid w:val="00100ED9"/>
    <w:rsid w:val="0010241D"/>
    <w:rsid w:val="001143C4"/>
    <w:rsid w:val="001239DE"/>
    <w:rsid w:val="00126769"/>
    <w:rsid w:val="001315CC"/>
    <w:rsid w:val="001341CE"/>
    <w:rsid w:val="0014257B"/>
    <w:rsid w:val="0015001C"/>
    <w:rsid w:val="00164645"/>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8545A"/>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336D7"/>
    <w:rsid w:val="003371CD"/>
    <w:rsid w:val="00360338"/>
    <w:rsid w:val="00384C41"/>
    <w:rsid w:val="00391F6F"/>
    <w:rsid w:val="0039636C"/>
    <w:rsid w:val="003B63BD"/>
    <w:rsid w:val="003E0612"/>
    <w:rsid w:val="003F2B12"/>
    <w:rsid w:val="00402EE6"/>
    <w:rsid w:val="00403083"/>
    <w:rsid w:val="004046CA"/>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D10"/>
    <w:rsid w:val="004B3992"/>
    <w:rsid w:val="004D59B0"/>
    <w:rsid w:val="004E1805"/>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A55F0"/>
    <w:rsid w:val="006B0C17"/>
    <w:rsid w:val="006D0D63"/>
    <w:rsid w:val="006D1433"/>
    <w:rsid w:val="006D542E"/>
    <w:rsid w:val="006D6F2C"/>
    <w:rsid w:val="006F45C6"/>
    <w:rsid w:val="006F544C"/>
    <w:rsid w:val="006F6B15"/>
    <w:rsid w:val="00700012"/>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C7570"/>
    <w:rsid w:val="007C7B8C"/>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6275"/>
    <w:rsid w:val="008C25C3"/>
    <w:rsid w:val="008D1C7E"/>
    <w:rsid w:val="008E2424"/>
    <w:rsid w:val="008F04A5"/>
    <w:rsid w:val="0090623B"/>
    <w:rsid w:val="00931CB4"/>
    <w:rsid w:val="00932360"/>
    <w:rsid w:val="00952B7D"/>
    <w:rsid w:val="0096609A"/>
    <w:rsid w:val="00966A9C"/>
    <w:rsid w:val="00966D29"/>
    <w:rsid w:val="009712EA"/>
    <w:rsid w:val="00976D39"/>
    <w:rsid w:val="00976E7A"/>
    <w:rsid w:val="00983D5F"/>
    <w:rsid w:val="00992DFD"/>
    <w:rsid w:val="00996A7F"/>
    <w:rsid w:val="009B3C29"/>
    <w:rsid w:val="009C3B27"/>
    <w:rsid w:val="009D24D7"/>
    <w:rsid w:val="009D29F4"/>
    <w:rsid w:val="009D43BC"/>
    <w:rsid w:val="009F0BE1"/>
    <w:rsid w:val="009F49B3"/>
    <w:rsid w:val="00A06450"/>
    <w:rsid w:val="00A20B2A"/>
    <w:rsid w:val="00A21F51"/>
    <w:rsid w:val="00A30B69"/>
    <w:rsid w:val="00A372CC"/>
    <w:rsid w:val="00A37B6A"/>
    <w:rsid w:val="00A400F3"/>
    <w:rsid w:val="00A43DE0"/>
    <w:rsid w:val="00A45262"/>
    <w:rsid w:val="00A6064F"/>
    <w:rsid w:val="00A72D81"/>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1EE7"/>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4223B"/>
    <w:rsid w:val="00C47D4C"/>
    <w:rsid w:val="00C51C2E"/>
    <w:rsid w:val="00C800AC"/>
    <w:rsid w:val="00C847F0"/>
    <w:rsid w:val="00C855F3"/>
    <w:rsid w:val="00C87174"/>
    <w:rsid w:val="00C96ED5"/>
    <w:rsid w:val="00CA5F61"/>
    <w:rsid w:val="00CB4162"/>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F3909"/>
    <w:rsid w:val="00E31DBF"/>
    <w:rsid w:val="00E437D6"/>
    <w:rsid w:val="00E43991"/>
    <w:rsid w:val="00E45499"/>
    <w:rsid w:val="00E507BB"/>
    <w:rsid w:val="00E535BA"/>
    <w:rsid w:val="00E55E11"/>
    <w:rsid w:val="00E6442C"/>
    <w:rsid w:val="00E72301"/>
    <w:rsid w:val="00E72785"/>
    <w:rsid w:val="00E80413"/>
    <w:rsid w:val="00E83007"/>
    <w:rsid w:val="00E937FC"/>
    <w:rsid w:val="00E97815"/>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E7BD2"/>
    <w:rsid w:val="00FF0F19"/>
    <w:rsid w:val="00FF7245"/>
    <w:rsid w:val="0532218C"/>
    <w:rsid w:val="182C66F8"/>
    <w:rsid w:val="1A0622C3"/>
    <w:rsid w:val="20E36A50"/>
    <w:rsid w:val="246C2A62"/>
    <w:rsid w:val="32CB7A20"/>
    <w:rsid w:val="330257C9"/>
    <w:rsid w:val="61732402"/>
    <w:rsid w:val="637572B7"/>
    <w:rsid w:val="66B36FF4"/>
    <w:rsid w:val="683801EB"/>
    <w:rsid w:val="717C4C6F"/>
    <w:rsid w:val="775C552B"/>
    <w:rsid w:val="776B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21"/>
    <w:basedOn w:val="41"/>
    <w:qFormat/>
    <w:uiPriority w:val="0"/>
    <w:rPr>
      <w:rFonts w:hint="eastAsia" w:ascii="宋体" w:hAnsi="宋体" w:eastAsia="宋体" w:cs="宋体"/>
      <w:color w:val="FF0000"/>
      <w:sz w:val="21"/>
      <w:szCs w:val="21"/>
      <w:u w:val="none"/>
    </w:rPr>
  </w:style>
  <w:style w:type="character" w:customStyle="1" w:styleId="250">
    <w:name w:val="font41"/>
    <w:basedOn w:val="41"/>
    <w:qFormat/>
    <w:uiPriority w:val="0"/>
    <w:rPr>
      <w:rFonts w:hint="default" w:ascii="Times New Roman" w:hAnsi="Times New Roman" w:cs="Times New Roman"/>
      <w:color w:val="FF0000"/>
      <w:sz w:val="21"/>
      <w:szCs w:val="21"/>
      <w:u w:val="none"/>
    </w:rPr>
  </w:style>
  <w:style w:type="character" w:customStyle="1" w:styleId="251">
    <w:name w:val="font11"/>
    <w:basedOn w:val="41"/>
    <w:qFormat/>
    <w:uiPriority w:val="0"/>
    <w:rPr>
      <w:rFonts w:hint="default" w:ascii="??" w:hAnsi="??" w:eastAsia="??" w:cs="??"/>
      <w:color w:val="FF0000"/>
      <w:sz w:val="22"/>
      <w:szCs w:val="22"/>
      <w:u w:val="none"/>
    </w:rPr>
  </w:style>
  <w:style w:type="character" w:customStyle="1" w:styleId="252">
    <w:name w:val="font01"/>
    <w:basedOn w:val="41"/>
    <w:qFormat/>
    <w:uiPriority w:val="0"/>
    <w:rPr>
      <w:rFonts w:hint="eastAsia" w:ascii="宋体" w:hAnsi="宋体" w:eastAsia="宋体" w:cs="宋体"/>
      <w:color w:val="FF0000"/>
      <w:sz w:val="22"/>
      <w:szCs w:val="22"/>
      <w:u w:val="none"/>
    </w:rPr>
  </w:style>
  <w:style w:type="character" w:customStyle="1" w:styleId="253">
    <w:name w:val="font71"/>
    <w:basedOn w:val="41"/>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548A5-0C71-4968-9983-F101EDECDD4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2552</Words>
  <Characters>14553</Characters>
  <Lines>121</Lines>
  <Paragraphs>34</Paragraphs>
  <TotalTime>8</TotalTime>
  <ScaleCrop>false</ScaleCrop>
  <LinksUpToDate>false</LinksUpToDate>
  <CharactersWithSpaces>17071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2018-09-06T04:26:09Z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