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bookmarkStart w:id="24" w:name="_GoBack"/>
      <w:bookmarkEnd w:id="24"/>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NJMZ-2018032215</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公益服务项目</w:t>
      </w:r>
      <w:r>
        <w:rPr>
          <w:rFonts w:hint="eastAsia" w:ascii="仿宋_GB2312" w:eastAsia="仿宋_GB2312"/>
          <w:sz w:val="36"/>
          <w:szCs w:val="36"/>
          <w:u w:val="single"/>
          <w:lang w:val="zh-CN"/>
        </w:rPr>
        <w:t xml:space="preserve">（A类）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2018年度南京市市级公益创投公益服务项目（A类）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1、项目编号：NJMZ-2018032215</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项目名称：2018年度南京市市级公益创投公益服务项目（A类）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项目预算：42万元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（1）本批次项目主要针对2018年度南京市市级公益创投公益服务项目进行竞标。标的物为公益服务7个项目。应标人需按照项目需求和预期目标完成项目的方案设计、组织实施、接受评估等相关的服务承诺。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高淳区</w:t>
            </w:r>
          </w:p>
        </w:tc>
        <w:tc>
          <w:tcPr>
            <w:tcW w:w="1418" w:type="dxa"/>
            <w:vAlign w:val="center"/>
          </w:tcPr>
          <w:p>
            <w:pPr>
              <w:spacing w:line="560" w:lineRule="exact"/>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不限定 </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tabs>
                <w:tab w:val="left" w:pos="587"/>
              </w:tabs>
              <w:jc w:val="center"/>
              <w:rPr>
                <w:rFonts w:ascii="宋体" w:hAnsi="宋体" w:eastAsia="宋体" w:cs="宋体"/>
                <w:color w:val="000000"/>
                <w:sz w:val="22"/>
              </w:rPr>
            </w:pPr>
            <w:r>
              <w:rPr>
                <w:rFonts w:hint="eastAsia" w:ascii="宋体" w:hAnsi="宋体" w:eastAsia="宋体" w:cs="宋体"/>
                <w:color w:val="000000"/>
                <w:sz w:val="22"/>
              </w:rPr>
              <w:t>江宁区</w:t>
            </w:r>
          </w:p>
        </w:tc>
        <w:tc>
          <w:tcPr>
            <w:tcW w:w="1418" w:type="dxa"/>
            <w:vAlign w:val="center"/>
          </w:tcPr>
          <w:p>
            <w:pPr>
              <w:spacing w:line="560" w:lineRule="exact"/>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东山街道外港社区</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hAnsi="宋体" w:eastAsia="宋体" w:cs="宋体"/>
                <w:sz w:val="22"/>
              </w:rPr>
            </w:pPr>
            <w:r>
              <w:rPr>
                <w:rFonts w:hint="eastAsia" w:ascii="宋体" w:hAnsi="宋体" w:eastAsia="宋体" w:cs="宋体"/>
                <w:sz w:val="22"/>
              </w:rPr>
              <w:t>溧水区</w:t>
            </w:r>
          </w:p>
        </w:tc>
        <w:tc>
          <w:tcPr>
            <w:tcW w:w="1418" w:type="dxa"/>
            <w:vAlign w:val="center"/>
          </w:tcPr>
          <w:p>
            <w:pPr>
              <w:spacing w:line="560" w:lineRule="exact"/>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不限定</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sz w:val="22"/>
              </w:rPr>
            </w:pPr>
          </w:p>
        </w:tc>
        <w:tc>
          <w:tcPr>
            <w:tcW w:w="1418" w:type="dxa"/>
            <w:vAlign w:val="center"/>
          </w:tcPr>
          <w:p>
            <w:pPr>
              <w:spacing w:line="560" w:lineRule="exact"/>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widowControl/>
              <w:jc w:val="center"/>
              <w:textAlignment w:val="center"/>
              <w:rPr>
                <w:color w:val="000000"/>
                <w:sz w:val="22"/>
              </w:rPr>
            </w:pPr>
            <w:r>
              <w:rPr>
                <w:rFonts w:hint="eastAsia"/>
                <w:color w:val="000000"/>
                <w:sz w:val="22"/>
              </w:rPr>
              <w:t>不限定</w:t>
            </w:r>
          </w:p>
        </w:tc>
        <w:tc>
          <w:tcPr>
            <w:tcW w:w="1842" w:type="dxa"/>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sz w:val="22"/>
              </w:rPr>
            </w:pPr>
            <w:r>
              <w:rPr>
                <w:rFonts w:hint="eastAsia" w:ascii="宋体" w:hAnsi="宋体" w:eastAsia="宋体" w:cs="宋体"/>
                <w:sz w:val="22"/>
              </w:rPr>
              <w:t>浦口区</w:t>
            </w:r>
          </w:p>
        </w:tc>
        <w:tc>
          <w:tcPr>
            <w:tcW w:w="1418" w:type="dxa"/>
            <w:vAlign w:val="center"/>
          </w:tcPr>
          <w:p>
            <w:pPr>
              <w:tabs>
                <w:tab w:val="left" w:pos="541"/>
              </w:tabs>
              <w:spacing w:line="560" w:lineRule="exact"/>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widowControl/>
              <w:jc w:val="center"/>
              <w:textAlignment w:val="center"/>
              <w:rPr>
                <w:color w:val="000000"/>
                <w:sz w:val="22"/>
              </w:rPr>
            </w:pPr>
            <w:r>
              <w:rPr>
                <w:rFonts w:hint="eastAsia" w:ascii="宋体" w:hAnsi="宋体" w:eastAsia="宋体" w:cs="宋体"/>
                <w:color w:val="000000"/>
                <w:kern w:val="0"/>
                <w:sz w:val="22"/>
              </w:rPr>
              <w:t>汤泉街道</w:t>
            </w:r>
          </w:p>
        </w:tc>
        <w:tc>
          <w:tcPr>
            <w:tcW w:w="1842" w:type="dxa"/>
            <w:vAlign w:val="center"/>
          </w:tcPr>
          <w:p>
            <w:pPr>
              <w:widowControl/>
              <w:tabs>
                <w:tab w:val="left" w:pos="560"/>
              </w:tabs>
              <w:jc w:val="left"/>
              <w:textAlignment w:val="center"/>
              <w:rPr>
                <w:rFonts w:ascii="宋体" w:hAnsi="宋体" w:eastAsia="宋体" w:cs="宋体"/>
                <w:color w:val="000000"/>
                <w:kern w:val="0"/>
                <w:sz w:val="22"/>
              </w:rPr>
            </w:pPr>
            <w:r>
              <w:rPr>
                <w:rFonts w:hint="eastAsia" w:ascii="宋体" w:hAnsi="宋体" w:eastAsia="宋体" w:cs="宋体"/>
                <w:color w:val="000000"/>
                <w:sz w:val="22"/>
              </w:rPr>
              <w:t xml:space="preserve">      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sz w:val="22"/>
              </w:rPr>
            </w:pPr>
            <w:r>
              <w:rPr>
                <w:rFonts w:hint="eastAsia" w:ascii="宋体" w:hAnsi="宋体" w:eastAsia="宋体" w:cs="宋体"/>
                <w:sz w:val="22"/>
              </w:rPr>
              <w:t>雨花台区</w:t>
            </w:r>
          </w:p>
        </w:tc>
        <w:tc>
          <w:tcPr>
            <w:tcW w:w="1418" w:type="dxa"/>
            <w:vAlign w:val="center"/>
          </w:tcPr>
          <w:p>
            <w:pPr>
              <w:spacing w:line="560" w:lineRule="exact"/>
              <w:jc w:val="center"/>
              <w:rPr>
                <w:rFonts w:ascii="仿宋_GB2312" w:eastAsia="仿宋_GB2312"/>
                <w:bCs/>
                <w:kern w:val="0"/>
                <w:sz w:val="24"/>
                <w:szCs w:val="24"/>
              </w:rPr>
            </w:pPr>
            <w:r>
              <w:rPr>
                <w:rFonts w:hint="eastAsia" w:ascii="仿宋_GB2312" w:eastAsia="仿宋_GB2312"/>
                <w:bCs/>
                <w:kern w:val="0"/>
                <w:sz w:val="24"/>
                <w:szCs w:val="24"/>
              </w:rPr>
              <w:t>分包6</w:t>
            </w:r>
          </w:p>
        </w:tc>
        <w:tc>
          <w:tcPr>
            <w:tcW w:w="3275"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2"/>
              </w:rPr>
              <w:t>不限定</w:t>
            </w:r>
          </w:p>
        </w:tc>
        <w:tc>
          <w:tcPr>
            <w:tcW w:w="1842" w:type="dxa"/>
            <w:vAlign w:val="center"/>
          </w:tcPr>
          <w:p>
            <w:pPr>
              <w:widowControl/>
              <w:jc w:val="center"/>
              <w:textAlignment w:val="center"/>
              <w:rPr>
                <w:rFonts w:ascii="宋体" w:hAnsi="宋体" w:eastAsia="宋体" w:cs="宋体"/>
                <w:sz w:val="22"/>
              </w:rPr>
            </w:pPr>
            <w:r>
              <w:rPr>
                <w:rFonts w:hint="eastAsia" w:ascii="宋体" w:hAnsi="宋体" w:eastAsia="宋体" w:cs="宋体"/>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tabs>
                <w:tab w:val="left" w:pos="416"/>
              </w:tabs>
              <w:spacing w:line="560" w:lineRule="exact"/>
              <w:jc w:val="center"/>
              <w:rPr>
                <w:rFonts w:ascii="仿宋_GB2312" w:eastAsia="仿宋_GB2312"/>
                <w:bCs/>
                <w:kern w:val="0"/>
                <w:sz w:val="24"/>
                <w:szCs w:val="24"/>
              </w:rPr>
            </w:pPr>
            <w:r>
              <w:rPr>
                <w:rFonts w:hint="eastAsia" w:ascii="仿宋_GB2312" w:eastAsia="仿宋_GB2312"/>
                <w:bCs/>
                <w:kern w:val="0"/>
                <w:sz w:val="24"/>
                <w:szCs w:val="24"/>
              </w:rPr>
              <w:t>分包7</w:t>
            </w:r>
          </w:p>
        </w:tc>
        <w:tc>
          <w:tcPr>
            <w:tcW w:w="3275"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2"/>
              </w:rPr>
              <w:t>雨花经济开发区园区锦华新城社区</w:t>
            </w:r>
          </w:p>
        </w:tc>
        <w:tc>
          <w:tcPr>
            <w:tcW w:w="1842" w:type="dxa"/>
            <w:vAlign w:val="center"/>
          </w:tcPr>
          <w:p>
            <w:pPr>
              <w:widowControl/>
              <w:jc w:val="center"/>
              <w:textAlignment w:val="center"/>
              <w:rPr>
                <w:rFonts w:ascii="宋体" w:hAnsi="宋体" w:eastAsia="宋体" w:cs="宋体"/>
                <w:sz w:val="22"/>
              </w:rPr>
            </w:pPr>
            <w:r>
              <w:rPr>
                <w:rFonts w:hint="eastAsia" w:ascii="宋体" w:hAnsi="宋体" w:eastAsia="宋体" w:cs="宋体"/>
                <w:sz w:val="22"/>
              </w:rPr>
              <w:t>5</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、本项目七个分包的应标文件接收时间、地点及评审时间、地点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分包一、分包二</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08</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08</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08</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分包三、分包四</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日08：00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日午09：00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日09:00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分包五</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09</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09</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09</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分包六、分包七</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在3月30</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南京珠江路88号新世界中心B座1201室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联系电话：</w:t>
      </w:r>
      <w:r>
        <w:rPr>
          <w:rFonts w:hint="eastAsia" w:ascii="仿宋_GB2312" w:hAnsi="仿宋" w:eastAsia="仿宋_GB2312"/>
          <w:color w:val="000000"/>
          <w:kern w:val="0"/>
          <w:sz w:val="28"/>
          <w:szCs w:val="28"/>
        </w:rPr>
        <w:t>025-68858626</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地址：南京市珠江路88号新世界中心B座1201室</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要求的应标人进行评审。未实质性响应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实质性要求前提下，按照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本项目为2018年度南京市市级公益创投公益服务项目，共计7个分包项目，扶持资金共42万元。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1、公益服务内容指引清单：</w:t>
      </w:r>
    </w:p>
    <w:tbl>
      <w:tblPr>
        <w:tblStyle w:val="49"/>
        <w:tblW w:w="951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095"/>
        <w:gridCol w:w="74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09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422" w:type="dxa"/>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restart"/>
            <w:vAlign w:val="center"/>
          </w:tcPr>
          <w:p>
            <w:pPr>
              <w:widowControl/>
              <w:tabs>
                <w:tab w:val="left" w:pos="326"/>
              </w:tabs>
              <w:spacing w:line="440" w:lineRule="exact"/>
              <w:jc w:val="left"/>
              <w:rPr>
                <w:rFonts w:ascii="仿宋_GB2312" w:hAnsi="华文楷体" w:eastAsia="仿宋_GB2312"/>
                <w:kern w:val="0"/>
                <w:sz w:val="24"/>
                <w:szCs w:val="24"/>
              </w:rPr>
            </w:pPr>
            <w:r>
              <w:rPr>
                <w:rFonts w:hint="eastAsia" w:ascii="仿宋_GB2312" w:hAnsi="华文楷体" w:eastAsia="仿宋_GB2312"/>
                <w:kern w:val="0"/>
                <w:sz w:val="24"/>
                <w:szCs w:val="24"/>
              </w:rPr>
              <w:t>公益 服务</w:t>
            </w:r>
          </w:p>
        </w:tc>
        <w:tc>
          <w:tcPr>
            <w:tcW w:w="1095"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3</w:t>
            </w:r>
          </w:p>
        </w:tc>
        <w:tc>
          <w:tcPr>
            <w:tcW w:w="7422" w:type="dxa"/>
            <w:shd w:val="clear" w:color="auto" w:fill="auto"/>
          </w:tcPr>
          <w:p>
            <w:pPr>
              <w:widowControl/>
              <w:spacing w:line="440" w:lineRule="exact"/>
              <w:jc w:val="left"/>
              <w:rPr>
                <w:rFonts w:asciiTheme="minorEastAsia" w:hAnsiTheme="minorEastAsia"/>
                <w:kern w:val="0"/>
                <w:sz w:val="24"/>
                <w:szCs w:val="24"/>
              </w:rPr>
            </w:pPr>
            <w:r>
              <w:rPr>
                <w:rFonts w:hint="eastAsia" w:asciiTheme="minorEastAsia" w:hAnsiTheme="minorEastAsia"/>
                <w:kern w:val="0"/>
                <w:sz w:val="24"/>
                <w:szCs w:val="24"/>
              </w:rPr>
              <w:t>社区失业人员就业帮扶公益服务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4</w:t>
            </w:r>
          </w:p>
        </w:tc>
        <w:tc>
          <w:tcPr>
            <w:tcW w:w="7422" w:type="dxa"/>
            <w:shd w:val="clear" w:color="auto" w:fill="auto"/>
          </w:tcPr>
          <w:p>
            <w:pPr>
              <w:widowControl/>
              <w:spacing w:line="440" w:lineRule="exact"/>
              <w:jc w:val="left"/>
              <w:rPr>
                <w:rFonts w:asciiTheme="minorEastAsia" w:hAnsiTheme="minorEastAsia"/>
                <w:kern w:val="0"/>
                <w:sz w:val="24"/>
                <w:szCs w:val="24"/>
              </w:rPr>
            </w:pPr>
            <w:r>
              <w:rPr>
                <w:rFonts w:hint="eastAsia" w:asciiTheme="minorEastAsia" w:hAnsiTheme="minorEastAsia"/>
                <w:kern w:val="0"/>
                <w:sz w:val="24"/>
                <w:szCs w:val="24"/>
              </w:rPr>
              <w:t>社区志愿服务转介或创新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c>
          <w:tcPr>
            <w:tcW w:w="7422" w:type="dxa"/>
            <w:shd w:val="clear" w:color="auto" w:fill="auto"/>
            <w:vAlign w:val="center"/>
          </w:tcPr>
          <w:p>
            <w:pPr>
              <w:widowControl/>
              <w:spacing w:line="440" w:lineRule="exact"/>
              <w:jc w:val="left"/>
              <w:rPr>
                <w:rFonts w:asciiTheme="minorEastAsia" w:hAnsiTheme="minorEastAsia"/>
                <w:kern w:val="0"/>
                <w:sz w:val="24"/>
                <w:szCs w:val="24"/>
              </w:rPr>
            </w:pPr>
            <w:r>
              <w:rPr>
                <w:rFonts w:hint="eastAsia" w:asciiTheme="minorEastAsia" w:hAnsiTheme="minorEastAsia"/>
                <w:kern w:val="0"/>
                <w:sz w:val="24"/>
                <w:szCs w:val="24"/>
              </w:rPr>
              <w:t>旧物再利用、绿色节能创新等社区环保公益服务</w:t>
            </w:r>
          </w:p>
        </w:tc>
      </w:tr>
    </w:tbl>
    <w:p>
      <w:pPr>
        <w:spacing w:line="560" w:lineRule="exact"/>
        <w:ind w:firstLine="560" w:firstLineChars="200"/>
        <w:rPr>
          <w:rFonts w:ascii="仿宋_GB2312" w:eastAsia="仿宋_GB2312"/>
          <w:bCs/>
          <w:color w:val="000000" w:themeColor="text1"/>
          <w:kern w:val="0"/>
          <w:sz w:val="28"/>
          <w:szCs w:val="28"/>
        </w:rPr>
      </w:pP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高淳区</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分包1</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 xml:space="preserve">不限定 </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571人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3"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江宁区</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分包2</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东山街道外港社区</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5.(创享益家——外港社区家庭绿色节能环保教育)</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50 - 150   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57"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溧水区</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分包3</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4</w:t>
            </w:r>
          </w:p>
        </w:tc>
        <w:tc>
          <w:tcPr>
            <w:tcW w:w="1559" w:type="dxa"/>
            <w:vAlign w:val="center"/>
          </w:tcPr>
          <w:p>
            <w:pPr>
              <w:widowControl/>
              <w:spacing w:line="440" w:lineRule="exact"/>
              <w:jc w:val="center"/>
              <w:rPr>
                <w:rFonts w:asciiTheme="minorEastAsia" w:hAnsiTheme="minorEastAsia"/>
                <w:kern w:val="0"/>
                <w:sz w:val="24"/>
                <w:szCs w:val="24"/>
              </w:rPr>
            </w:pPr>
            <w:r>
              <w:rPr>
                <w:rFonts w:asciiTheme="minorEastAsia" w:hAnsiTheme="minorEastAsia"/>
                <w:kern w:val="0"/>
                <w:sz w:val="24"/>
                <w:szCs w:val="24"/>
              </w:rPr>
              <w:t>50-100</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分包4</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绿色节能创新等社区环保公益服务</w:t>
            </w:r>
          </w:p>
        </w:tc>
        <w:tc>
          <w:tcPr>
            <w:tcW w:w="1559" w:type="dxa"/>
            <w:vAlign w:val="center"/>
          </w:tcPr>
          <w:p>
            <w:pPr>
              <w:widowControl/>
              <w:spacing w:line="440" w:lineRule="exact"/>
              <w:jc w:val="center"/>
              <w:rPr>
                <w:rFonts w:asciiTheme="minorEastAsia" w:hAnsiTheme="minorEastAsia"/>
                <w:kern w:val="0"/>
                <w:sz w:val="24"/>
                <w:szCs w:val="24"/>
              </w:rPr>
            </w:pPr>
            <w:r>
              <w:rPr>
                <w:rFonts w:asciiTheme="minorEastAsia" w:hAnsiTheme="minorEastAsia"/>
                <w:kern w:val="0"/>
                <w:sz w:val="24"/>
                <w:szCs w:val="24"/>
              </w:rPr>
              <w:t>50</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浦口区</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分包5</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汤泉街道</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旧物再利用、绿色节能创新等社区环保公益服务</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50 - 50  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雨花台区</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分包6</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3</w:t>
            </w:r>
          </w:p>
        </w:tc>
        <w:tc>
          <w:tcPr>
            <w:tcW w:w="1559" w:type="dxa"/>
            <w:vAlign w:val="center"/>
          </w:tcPr>
          <w:p>
            <w:pPr>
              <w:widowControl/>
              <w:spacing w:line="440" w:lineRule="exact"/>
              <w:jc w:val="center"/>
              <w:rPr>
                <w:rFonts w:asciiTheme="minorEastAsia" w:hAnsiTheme="minorEastAsia"/>
                <w:kern w:val="0"/>
                <w:sz w:val="24"/>
                <w:szCs w:val="24"/>
              </w:rPr>
            </w:pPr>
            <w:r>
              <w:rPr>
                <w:rFonts w:asciiTheme="minorEastAsia" w:hAnsiTheme="minorEastAsia"/>
                <w:kern w:val="0"/>
                <w:sz w:val="24"/>
                <w:szCs w:val="24"/>
              </w:rPr>
              <w:t>50</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jc w:val="center"/>
              <w:rPr>
                <w:rFonts w:asciiTheme="minorEastAsia" w:hAnsiTheme="minorEastAsia"/>
                <w:bCs/>
                <w:kern w:val="0"/>
                <w:sz w:val="24"/>
                <w:szCs w:val="24"/>
              </w:rPr>
            </w:pP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分包7</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雨花经济开发区园区锦华新城社区</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4</w:t>
            </w:r>
          </w:p>
        </w:tc>
        <w:tc>
          <w:tcPr>
            <w:tcW w:w="1559" w:type="dxa"/>
            <w:vAlign w:val="center"/>
          </w:tcPr>
          <w:p>
            <w:pPr>
              <w:widowControl/>
              <w:spacing w:line="440" w:lineRule="exact"/>
              <w:jc w:val="center"/>
              <w:rPr>
                <w:rFonts w:asciiTheme="minorEastAsia" w:hAnsiTheme="minorEastAsia"/>
                <w:kern w:val="0"/>
                <w:sz w:val="24"/>
                <w:szCs w:val="24"/>
              </w:rPr>
            </w:pPr>
            <w:r>
              <w:rPr>
                <w:rFonts w:asciiTheme="minorEastAsia" w:hAnsiTheme="minorEastAsia"/>
                <w:kern w:val="0"/>
                <w:sz w:val="24"/>
                <w:szCs w:val="24"/>
              </w:rPr>
              <w:t>50</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513029281"/>
      <w:bookmarkStart w:id="6" w:name="_Toc23828483"/>
      <w:bookmarkStart w:id="7" w:name="_Toc120614291"/>
      <w:bookmarkStart w:id="8" w:name="_Toc26554103"/>
      <w:bookmarkStart w:id="9" w:name="_Toc120614284"/>
      <w:bookmarkStart w:id="10" w:name="_Toc22356583"/>
      <w:bookmarkStart w:id="11" w:name="_Toc49090582"/>
      <w:bookmarkStart w:id="12" w:name="_Toc24878535"/>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w:t>
      </w:r>
      <w:r>
        <w:rPr>
          <w:rFonts w:hint="eastAsia" w:ascii="仿宋_GB2312" w:eastAsia="仿宋_GB2312"/>
          <w:sz w:val="28"/>
          <w:szCs w:val="28"/>
          <w:lang w:eastAsia="zh-CN"/>
        </w:rPr>
        <w:t>采购文件</w:t>
      </w:r>
      <w:r>
        <w:rPr>
          <w:rFonts w:hint="eastAsia" w:ascii="仿宋_GB2312" w:eastAsia="仿宋_GB2312"/>
          <w:sz w:val="28"/>
          <w:szCs w:val="28"/>
        </w:rPr>
        <w:t>任何误解的权利，无论评审结果如何，我们不对</w:t>
      </w:r>
      <w:r>
        <w:rPr>
          <w:rFonts w:hint="eastAsia" w:ascii="仿宋_GB2312" w:eastAsia="仿宋_GB2312"/>
          <w:sz w:val="28"/>
          <w:szCs w:val="28"/>
          <w:lang w:eastAsia="zh-CN"/>
        </w:rPr>
        <w:t>采购文件</w:t>
      </w:r>
      <w:r>
        <w:rPr>
          <w:rFonts w:hint="eastAsia" w:ascii="仿宋_GB2312" w:eastAsia="仿宋_GB2312"/>
          <w:sz w:val="28"/>
          <w:szCs w:val="28"/>
        </w:rPr>
        <w:t>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w:t>
      </w:r>
      <w:r>
        <w:rPr>
          <w:rFonts w:hint="eastAsia" w:ascii="仿宋_GB2312" w:eastAsia="仿宋_GB2312"/>
          <w:sz w:val="28"/>
          <w:szCs w:val="28"/>
          <w:lang w:eastAsia="zh-CN"/>
        </w:rPr>
        <w:t>采购文件</w:t>
      </w:r>
      <w:r>
        <w:rPr>
          <w:rFonts w:hint="eastAsia" w:ascii="仿宋_GB2312" w:eastAsia="仿宋_GB2312"/>
          <w:sz w:val="28"/>
          <w:szCs w:val="28"/>
        </w:rPr>
        <w:t>，并在规定的竞标有效期期满之前均具有约束力。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w:t>
      </w:r>
      <w:r>
        <w:rPr>
          <w:rFonts w:hint="eastAsia" w:ascii="仿宋_GB2312" w:eastAsia="仿宋_GB2312"/>
          <w:sz w:val="28"/>
          <w:szCs w:val="28"/>
          <w:lang w:eastAsia="zh-CN"/>
        </w:rPr>
        <w:t>采购文件</w:t>
      </w:r>
      <w:r>
        <w:rPr>
          <w:rFonts w:hint="eastAsia" w:ascii="仿宋_GB2312" w:eastAsia="仿宋_GB2312"/>
          <w:sz w:val="28"/>
          <w:szCs w:val="28"/>
        </w:rPr>
        <w:t>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w:t>
      </w:r>
      <w:r>
        <w:rPr>
          <w:rFonts w:hint="eastAsia" w:ascii="仿宋_GB2312" w:eastAsia="仿宋_GB2312"/>
          <w:sz w:val="28"/>
          <w:szCs w:val="28"/>
          <w:lang w:eastAsia="zh-CN"/>
        </w:rPr>
        <w:t>采购文件</w:t>
      </w:r>
      <w:r>
        <w:rPr>
          <w:rFonts w:hint="eastAsia" w:ascii="仿宋_GB2312" w:eastAsia="仿宋_GB2312"/>
          <w:sz w:val="28"/>
          <w:szCs w:val="28"/>
        </w:rPr>
        <w:t>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Hlt26955070"/>
      <w:bookmarkEnd w:id="13"/>
      <w:bookmarkStart w:id="14" w:name="_Toc23828478"/>
      <w:bookmarkEnd w:id="14"/>
      <w:bookmarkStart w:id="15" w:name="_Toc120614283"/>
      <w:bookmarkEnd w:id="15"/>
      <w:bookmarkStart w:id="16" w:name="_Hlt26671380"/>
      <w:bookmarkEnd w:id="16"/>
      <w:bookmarkStart w:id="17" w:name="_Toc22356580"/>
      <w:bookmarkEnd w:id="17"/>
      <w:bookmarkStart w:id="18" w:name="_Toc26554095"/>
      <w:bookmarkEnd w:id="18"/>
      <w:bookmarkStart w:id="19" w:name="_格式3__银行出具的资信证明"/>
      <w:bookmarkEnd w:id="19"/>
      <w:bookmarkStart w:id="20" w:name="_Toc513029276"/>
      <w:bookmarkEnd w:id="20"/>
      <w:bookmarkStart w:id="21" w:name="_Toc49090577"/>
      <w:bookmarkEnd w:id="21"/>
      <w:bookmarkStart w:id="22" w:name="_格式2__法定代表人授权书"/>
      <w:bookmarkEnd w:id="22"/>
      <w:bookmarkStart w:id="23" w:name="_Toc460901585"/>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楷体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10CD3"/>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163F"/>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34C70"/>
    <w:rsid w:val="00244A23"/>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3D23"/>
    <w:rsid w:val="003B63BD"/>
    <w:rsid w:val="003E0612"/>
    <w:rsid w:val="003F2B12"/>
    <w:rsid w:val="00402EE6"/>
    <w:rsid w:val="00403083"/>
    <w:rsid w:val="004046CA"/>
    <w:rsid w:val="00410AE4"/>
    <w:rsid w:val="00420087"/>
    <w:rsid w:val="00431AE5"/>
    <w:rsid w:val="004322F7"/>
    <w:rsid w:val="00434B7A"/>
    <w:rsid w:val="004403A8"/>
    <w:rsid w:val="0044341F"/>
    <w:rsid w:val="00451DB8"/>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2821"/>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72A5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3BB8"/>
    <w:rsid w:val="0086696A"/>
    <w:rsid w:val="00887C8D"/>
    <w:rsid w:val="0089068F"/>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1379"/>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09B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47F0"/>
    <w:rsid w:val="00C855F3"/>
    <w:rsid w:val="00C87174"/>
    <w:rsid w:val="00C96ED5"/>
    <w:rsid w:val="00CA5F61"/>
    <w:rsid w:val="00CB4162"/>
    <w:rsid w:val="00CC060A"/>
    <w:rsid w:val="00CC4F88"/>
    <w:rsid w:val="00CD6675"/>
    <w:rsid w:val="00CE6D54"/>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32CB7A20"/>
    <w:rsid w:val="330257C9"/>
    <w:rsid w:val="50455D74"/>
    <w:rsid w:val="61732402"/>
    <w:rsid w:val="683801EB"/>
    <w:rsid w:val="74C424C5"/>
    <w:rsid w:val="763D2F8B"/>
    <w:rsid w:val="7B03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51"/>
    <w:basedOn w:val="41"/>
    <w:qFormat/>
    <w:uiPriority w:val="0"/>
    <w:rPr>
      <w:rFonts w:hint="default" w:ascii="Times New Roman" w:hAnsi="Times New Roman" w:cs="Times New Roman"/>
      <w:color w:val="000000"/>
      <w:sz w:val="24"/>
      <w:szCs w:val="24"/>
      <w:u w:val="none"/>
    </w:rPr>
  </w:style>
  <w:style w:type="character" w:customStyle="1" w:styleId="250">
    <w:name w:val="font21"/>
    <w:basedOn w:val="41"/>
    <w:uiPriority w:val="0"/>
    <w:rPr>
      <w:rFonts w:ascii="黑体" w:hAnsi="宋体" w:eastAsia="黑体" w:cs="黑体"/>
      <w:color w:val="000000"/>
      <w:sz w:val="24"/>
      <w:szCs w:val="24"/>
      <w:u w:val="none"/>
    </w:rPr>
  </w:style>
  <w:style w:type="character" w:customStyle="1" w:styleId="251">
    <w:name w:val="font11"/>
    <w:basedOn w:val="41"/>
    <w:qFormat/>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A7D6D-63B8-4988-A8E5-3BF7608B76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2364</Words>
  <Characters>13475</Characters>
  <Lines>112</Lines>
  <Paragraphs>31</Paragraphs>
  <TotalTime>0</TotalTime>
  <ScaleCrop>false</ScaleCrop>
  <LinksUpToDate>false</LinksUpToDate>
  <CharactersWithSpaces>15808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axs</cp:lastModifiedBy>
  <dcterms:modified xsi:type="dcterms:W3CDTF">2018-03-23T09:55:45Z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